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35" w:rsidRPr="00450D21" w:rsidRDefault="000401F5" w:rsidP="00152E05">
      <w:pPr>
        <w:pStyle w:val="Heading1"/>
        <w:spacing w:before="0" w:after="0" w:line="240" w:lineRule="auto"/>
        <w:ind w:left="360" w:hanging="360"/>
        <w:rPr>
          <w:sz w:val="42"/>
          <w:szCs w:val="42"/>
          <w:lang w:val="fr-CA"/>
        </w:rPr>
      </w:pPr>
      <w:bookmarkStart w:id="0" w:name="_GoBack"/>
      <w:bookmarkEnd w:id="0"/>
      <w:r>
        <w:rPr>
          <w:bCs/>
          <w:sz w:val="42"/>
          <w:szCs w:val="42"/>
          <w:lang w:val="fr-CA"/>
        </w:rPr>
        <w:t xml:space="preserve">Arrêt des TMFV – Audit système </w:t>
      </w:r>
    </w:p>
    <w:p w:rsidR="005F2E35" w:rsidRPr="00450D21" w:rsidRDefault="001115FC" w:rsidP="00803874">
      <w:pPr>
        <w:pStyle w:val="BodyText"/>
        <w:spacing w:after="0"/>
        <w:rPr>
          <w:lang w:val="fr-CA"/>
        </w:rPr>
      </w:pPr>
    </w:p>
    <w:tbl>
      <w:tblPr>
        <w:tblStyle w:val="TableGridLigh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3730"/>
        <w:gridCol w:w="3731"/>
      </w:tblGrid>
      <w:tr w:rsidR="00D64803" w:rsidTr="0053787D">
        <w:trPr>
          <w:trHeight w:val="720"/>
        </w:trPr>
        <w:tc>
          <w:tcPr>
            <w:tcW w:w="2065" w:type="dxa"/>
          </w:tcPr>
          <w:p w:rsidR="00C278EA" w:rsidRDefault="000401F5" w:rsidP="00C278EA">
            <w:pPr>
              <w:jc w:val="center"/>
              <w:rPr>
                <w:rFonts w:cs="Arial"/>
                <w:color w:val="A6A6A6" w:themeColor="background1" w:themeShade="A6"/>
              </w:rPr>
            </w:pPr>
            <w:r w:rsidRPr="00C278EA">
              <w:rPr>
                <w:rFonts w:cs="Arial"/>
                <w:color w:val="A6A6A6" w:themeColor="background1" w:themeShade="A6"/>
                <w:lang w:val="fr-CA"/>
              </w:rPr>
              <w:t>DATE</w:t>
            </w:r>
          </w:p>
          <w:p w:rsidR="00170F38" w:rsidRPr="00C278EA" w:rsidRDefault="000401F5" w:rsidP="00170F38">
            <w:pPr>
              <w:spacing w:before="100"/>
              <w:jc w:val="center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D9D9D9" w:themeColor="background1" w:themeShade="D9"/>
                <w:lang w:val="fr-CA"/>
              </w:rPr>
              <w:t>AAAA/MM/JJ</w:t>
            </w:r>
          </w:p>
        </w:tc>
        <w:tc>
          <w:tcPr>
            <w:tcW w:w="3642" w:type="dxa"/>
          </w:tcPr>
          <w:p w:rsidR="00C278EA" w:rsidRPr="00C278EA" w:rsidRDefault="000401F5" w:rsidP="00C278EA">
            <w:pPr>
              <w:jc w:val="center"/>
              <w:rPr>
                <w:rFonts w:cs="Arial"/>
                <w:color w:val="A6A6A6" w:themeColor="background1" w:themeShade="A6"/>
              </w:rPr>
            </w:pPr>
            <w:r w:rsidRPr="00C278EA">
              <w:rPr>
                <w:rFonts w:cs="Arial"/>
                <w:color w:val="A6A6A6" w:themeColor="background1" w:themeShade="A6"/>
                <w:lang w:val="fr-CA"/>
              </w:rPr>
              <w:t>NOM DE L’HÔPITAL</w:t>
            </w:r>
          </w:p>
        </w:tc>
        <w:tc>
          <w:tcPr>
            <w:tcW w:w="3643" w:type="dxa"/>
          </w:tcPr>
          <w:p w:rsidR="00C278EA" w:rsidRPr="00C278EA" w:rsidRDefault="000401F5" w:rsidP="00C278EA">
            <w:pPr>
              <w:jc w:val="center"/>
              <w:rPr>
                <w:rFonts w:cs="Arial"/>
                <w:color w:val="A6A6A6" w:themeColor="background1" w:themeShade="A6"/>
              </w:rPr>
            </w:pPr>
            <w:r w:rsidRPr="00C278EA">
              <w:rPr>
                <w:rFonts w:cs="Arial"/>
                <w:color w:val="A6A6A6" w:themeColor="background1" w:themeShade="A6"/>
                <w:lang w:val="fr-CA"/>
              </w:rPr>
              <w:t>UNITÉ</w:t>
            </w:r>
          </w:p>
        </w:tc>
      </w:tr>
    </w:tbl>
    <w:p w:rsidR="00C278EA" w:rsidRPr="00C278EA" w:rsidRDefault="001115FC" w:rsidP="00A063E9">
      <w:pPr>
        <w:spacing w:after="0"/>
        <w:rPr>
          <w:rFonts w:ascii="Times New Roman" w:hAnsi="Times New Roman"/>
          <w:kern w:val="2"/>
        </w:rPr>
      </w:pPr>
    </w:p>
    <w:p w:rsidR="00C278EA" w:rsidRPr="00450D21" w:rsidRDefault="000401F5" w:rsidP="00C278EA">
      <w:pPr>
        <w:spacing w:after="100" w:line="264" w:lineRule="auto"/>
        <w:rPr>
          <w:rFonts w:ascii="Times New Roman" w:hAnsi="Times New Roman"/>
          <w:kern w:val="2"/>
          <w:szCs w:val="22"/>
          <w:lang w:val="fr-CA"/>
        </w:rPr>
      </w:pPr>
      <w:r w:rsidRPr="00C278EA">
        <w:rPr>
          <w:rFonts w:ascii="Times New Roman" w:hAnsi="Times New Roman"/>
          <w:kern w:val="2"/>
          <w:szCs w:val="22"/>
          <w:lang w:val="fr-CA"/>
        </w:rPr>
        <w:t>L</w:t>
      </w:r>
      <w:r w:rsidR="00A37E3C">
        <w:rPr>
          <w:rFonts w:ascii="Times New Roman" w:hAnsi="Times New Roman"/>
          <w:kern w:val="2"/>
          <w:szCs w:val="22"/>
          <w:lang w:val="fr-CA"/>
        </w:rPr>
        <w:t>’</w:t>
      </w:r>
      <w:r w:rsidRPr="00C278EA">
        <w:rPr>
          <w:rFonts w:ascii="Times New Roman" w:hAnsi="Times New Roman"/>
          <w:kern w:val="2"/>
          <w:szCs w:val="22"/>
          <w:lang w:val="fr-CA"/>
        </w:rPr>
        <w:t>audit du système a pour but de rehausser la qualité du processus d</w:t>
      </w:r>
      <w:r w:rsidR="00A37E3C">
        <w:rPr>
          <w:rFonts w:ascii="Times New Roman" w:hAnsi="Times New Roman"/>
          <w:kern w:val="2"/>
          <w:szCs w:val="22"/>
          <w:lang w:val="fr-CA"/>
        </w:rPr>
        <w:t>’</w:t>
      </w:r>
      <w:r w:rsidRPr="00C278EA">
        <w:rPr>
          <w:rFonts w:ascii="Times New Roman" w:hAnsi="Times New Roman"/>
          <w:kern w:val="2"/>
          <w:szCs w:val="22"/>
          <w:lang w:val="fr-CA"/>
        </w:rPr>
        <w:t>arrêt des traitements de maintien des fonctions vitales (TMFV) dans les unités de soins spéciaux où des dispositifs de soutien vital sont employés</w:t>
      </w:r>
      <w:r w:rsidR="00A37E3C">
        <w:rPr>
          <w:rFonts w:ascii="Times New Roman" w:hAnsi="Times New Roman"/>
          <w:kern w:val="2"/>
          <w:szCs w:val="22"/>
          <w:lang w:val="fr-CA"/>
        </w:rPr>
        <w:t> </w:t>
      </w:r>
      <w:r w:rsidRPr="00C278EA">
        <w:rPr>
          <w:rFonts w:ascii="Times New Roman" w:hAnsi="Times New Roman"/>
          <w:kern w:val="2"/>
          <w:szCs w:val="22"/>
          <w:lang w:val="fr-CA"/>
        </w:rPr>
        <w:t>: unités de soins intensifs (généraux ou spécialisés), unités de soins coronariens</w:t>
      </w:r>
      <w:r w:rsidRPr="008C200D">
        <w:rPr>
          <w:rFonts w:ascii="Times New Roman" w:hAnsi="Times New Roman"/>
          <w:kern w:val="2"/>
          <w:szCs w:val="22"/>
          <w:lang w:val="fr-CA"/>
        </w:rPr>
        <w:t>, services de soins de gravité élevée,</w:t>
      </w:r>
      <w:r w:rsidRPr="00C278EA">
        <w:rPr>
          <w:rFonts w:ascii="Times New Roman" w:hAnsi="Times New Roman"/>
          <w:kern w:val="2"/>
          <w:szCs w:val="22"/>
          <w:lang w:val="fr-CA"/>
        </w:rPr>
        <w:t xml:space="preserve"> unités de soins intermédiaires, etc. Veuillez noter que cela s</w:t>
      </w:r>
      <w:r w:rsidR="00A37E3C">
        <w:rPr>
          <w:rFonts w:ascii="Times New Roman" w:hAnsi="Times New Roman"/>
          <w:kern w:val="2"/>
          <w:szCs w:val="22"/>
          <w:lang w:val="fr-CA"/>
        </w:rPr>
        <w:t>’</w:t>
      </w:r>
      <w:r w:rsidRPr="00C278EA">
        <w:rPr>
          <w:rFonts w:ascii="Times New Roman" w:hAnsi="Times New Roman"/>
          <w:kern w:val="2"/>
          <w:szCs w:val="22"/>
          <w:lang w:val="fr-CA"/>
        </w:rPr>
        <w:t xml:space="preserve">applique au processus </w:t>
      </w:r>
      <w:r w:rsidRPr="00C278EA">
        <w:rPr>
          <w:rFonts w:ascii="Times New Roman" w:hAnsi="Times New Roman"/>
          <w:b/>
          <w:bCs/>
          <w:kern w:val="2"/>
          <w:szCs w:val="22"/>
          <w:lang w:val="fr-CA"/>
        </w:rPr>
        <w:t>clinique</w:t>
      </w:r>
      <w:r w:rsidRPr="00C278EA">
        <w:rPr>
          <w:rFonts w:ascii="Times New Roman" w:hAnsi="Times New Roman"/>
          <w:kern w:val="2"/>
          <w:szCs w:val="22"/>
          <w:lang w:val="fr-CA"/>
        </w:rPr>
        <w:t xml:space="preserve"> de l</w:t>
      </w:r>
      <w:r w:rsidR="00A37E3C">
        <w:rPr>
          <w:rFonts w:ascii="Times New Roman" w:hAnsi="Times New Roman"/>
          <w:kern w:val="2"/>
          <w:szCs w:val="22"/>
          <w:lang w:val="fr-CA"/>
        </w:rPr>
        <w:t>’</w:t>
      </w:r>
      <w:r w:rsidRPr="00C278EA">
        <w:rPr>
          <w:rFonts w:ascii="Times New Roman" w:hAnsi="Times New Roman"/>
          <w:kern w:val="2"/>
          <w:szCs w:val="22"/>
          <w:lang w:val="fr-CA"/>
        </w:rPr>
        <w:t xml:space="preserve">arrêt des TMFV et NON au processus décisionnel qui le précède. </w:t>
      </w:r>
    </w:p>
    <w:p w:rsidR="00C278EA" w:rsidRPr="00450D21" w:rsidRDefault="000401F5" w:rsidP="00C278EA">
      <w:pPr>
        <w:spacing w:after="100" w:line="264" w:lineRule="auto"/>
        <w:rPr>
          <w:rFonts w:ascii="Times New Roman" w:hAnsi="Times New Roman"/>
          <w:kern w:val="2"/>
          <w:szCs w:val="22"/>
          <w:vertAlign w:val="superscript"/>
          <w:lang w:val="fr-CA"/>
        </w:rPr>
      </w:pPr>
      <w:r>
        <w:rPr>
          <w:rFonts w:ascii="Times New Roman" w:hAnsi="Times New Roman"/>
          <w:kern w:val="2"/>
          <w:szCs w:val="22"/>
          <w:lang w:val="fr-CA"/>
        </w:rPr>
        <w:t>Chaque unité doit préciser si elle s</w:t>
      </w:r>
      <w:r w:rsidR="00450D21">
        <w:rPr>
          <w:rFonts w:ascii="Times New Roman" w:hAnsi="Times New Roman"/>
          <w:kern w:val="2"/>
          <w:szCs w:val="22"/>
          <w:lang w:val="fr-CA"/>
        </w:rPr>
        <w:t>’</w:t>
      </w:r>
      <w:r>
        <w:rPr>
          <w:rFonts w:ascii="Times New Roman" w:hAnsi="Times New Roman"/>
          <w:kern w:val="2"/>
          <w:szCs w:val="22"/>
          <w:lang w:val="fr-CA"/>
        </w:rPr>
        <w:t>est dotée des pratiques exemplaires suivantes avant de procéder à l</w:t>
      </w:r>
      <w:r w:rsidR="00450D21">
        <w:rPr>
          <w:rFonts w:ascii="Times New Roman" w:hAnsi="Times New Roman"/>
          <w:kern w:val="2"/>
          <w:szCs w:val="22"/>
          <w:lang w:val="fr-CA"/>
        </w:rPr>
        <w:t>’</w:t>
      </w:r>
      <w:r>
        <w:rPr>
          <w:rFonts w:ascii="Times New Roman" w:hAnsi="Times New Roman"/>
          <w:kern w:val="2"/>
          <w:szCs w:val="22"/>
          <w:lang w:val="fr-CA"/>
        </w:rPr>
        <w:t xml:space="preserve">arrêt des TMFV pour un patient. Vous pouvez entrer des commentaires dans la case </w:t>
      </w:r>
      <w:r>
        <w:rPr>
          <w:rFonts w:ascii="Times New Roman" w:hAnsi="Times New Roman"/>
          <w:i/>
          <w:iCs/>
          <w:kern w:val="2"/>
          <w:szCs w:val="22"/>
          <w:lang w:val="fr-CA"/>
        </w:rPr>
        <w:t>Commentaires</w:t>
      </w:r>
      <w:r>
        <w:rPr>
          <w:rFonts w:ascii="Times New Roman" w:hAnsi="Times New Roman"/>
          <w:kern w:val="2"/>
          <w:szCs w:val="22"/>
          <w:lang w:val="fr-CA"/>
        </w:rPr>
        <w:t xml:space="preserve">. </w:t>
      </w:r>
      <w:r>
        <w:rPr>
          <w:rFonts w:ascii="Times New Roman" w:hAnsi="Times New Roman"/>
          <w:b/>
          <w:bCs/>
          <w:kern w:val="2"/>
          <w:szCs w:val="22"/>
          <w:lang w:val="fr-CA"/>
        </w:rPr>
        <w:t>Veuillez donner des précisions pour chaque réponse négative.</w:t>
      </w:r>
      <w:r>
        <w:rPr>
          <w:rFonts w:ascii="Times New Roman" w:hAnsi="Times New Roman"/>
          <w:kern w:val="2"/>
          <w:szCs w:val="22"/>
          <w:lang w:val="fr-CA"/>
        </w:rPr>
        <w:t xml:space="preserve"> Les éléments suivants s</w:t>
      </w:r>
      <w:r w:rsidR="00450D21">
        <w:rPr>
          <w:rFonts w:ascii="Times New Roman" w:hAnsi="Times New Roman"/>
          <w:kern w:val="2"/>
          <w:szCs w:val="22"/>
          <w:lang w:val="fr-CA"/>
        </w:rPr>
        <w:t>’</w:t>
      </w:r>
      <w:r>
        <w:rPr>
          <w:rFonts w:ascii="Times New Roman" w:hAnsi="Times New Roman"/>
          <w:kern w:val="2"/>
          <w:szCs w:val="22"/>
          <w:lang w:val="fr-CA"/>
        </w:rPr>
        <w:t>appuient sur les lignes directrices de la Société canadienne de soins intensifs sur l</w:t>
      </w:r>
      <w:r w:rsidR="00450D21">
        <w:rPr>
          <w:rFonts w:ascii="Times New Roman" w:hAnsi="Times New Roman"/>
          <w:kern w:val="2"/>
          <w:szCs w:val="22"/>
          <w:lang w:val="fr-CA"/>
        </w:rPr>
        <w:t>’</w:t>
      </w:r>
      <w:r>
        <w:rPr>
          <w:rFonts w:ascii="Times New Roman" w:hAnsi="Times New Roman"/>
          <w:kern w:val="2"/>
          <w:szCs w:val="22"/>
          <w:lang w:val="fr-CA"/>
        </w:rPr>
        <w:t xml:space="preserve">arrêt des traitements de maintien des fonctions vitales. </w:t>
      </w:r>
    </w:p>
    <w:p w:rsidR="00C278EA" w:rsidRPr="00450D21" w:rsidRDefault="000401F5" w:rsidP="00A063E9">
      <w:pPr>
        <w:spacing w:after="0" w:line="264" w:lineRule="auto"/>
        <w:jc w:val="center"/>
        <w:rPr>
          <w:rFonts w:ascii="Times New Roman" w:hAnsi="Times New Roman"/>
          <w:bCs/>
          <w:i/>
          <w:iCs/>
          <w:kern w:val="2"/>
          <w:szCs w:val="22"/>
          <w:lang w:val="fr-CA"/>
        </w:rPr>
      </w:pPr>
      <w:r>
        <w:rPr>
          <w:rFonts w:ascii="Times New Roman" w:hAnsi="Times New Roman"/>
          <w:bCs/>
          <w:i/>
          <w:iCs/>
          <w:kern w:val="2"/>
          <w:szCs w:val="22"/>
          <w:lang w:val="fr-CA"/>
        </w:rPr>
        <w:t>Le formulaire doit être rempli par le médecin et le responsable administratif de l</w:t>
      </w:r>
      <w:r w:rsidR="00450D21">
        <w:rPr>
          <w:rFonts w:ascii="Times New Roman" w:hAnsi="Times New Roman"/>
          <w:bCs/>
          <w:i/>
          <w:iCs/>
          <w:kern w:val="2"/>
          <w:szCs w:val="22"/>
          <w:lang w:val="fr-CA"/>
        </w:rPr>
        <w:t>’</w:t>
      </w:r>
      <w:r>
        <w:rPr>
          <w:rFonts w:ascii="Times New Roman" w:hAnsi="Times New Roman"/>
          <w:bCs/>
          <w:i/>
          <w:iCs/>
          <w:kern w:val="2"/>
          <w:szCs w:val="22"/>
          <w:lang w:val="fr-CA"/>
        </w:rPr>
        <w:t xml:space="preserve">unité, en consultation avec le personnel de première ligne. </w:t>
      </w:r>
    </w:p>
    <w:p w:rsidR="00C278EA" w:rsidRPr="00450D21" w:rsidRDefault="000401F5" w:rsidP="00A063E9">
      <w:pPr>
        <w:spacing w:before="200" w:after="40"/>
        <w:rPr>
          <w:rFonts w:ascii="Arial" w:hAnsi="Arial"/>
          <w:b/>
          <w:lang w:val="fr-CA"/>
        </w:rPr>
      </w:pPr>
      <w:r w:rsidRPr="00C278EA">
        <w:rPr>
          <w:rFonts w:ascii="Arial" w:hAnsi="Arial"/>
          <w:b/>
          <w:bCs/>
          <w:lang w:val="fr-CA"/>
        </w:rPr>
        <w:t xml:space="preserve">Politique et procédure </w:t>
      </w:r>
      <w:r w:rsidR="00450D21">
        <w:rPr>
          <w:rFonts w:ascii="Arial" w:hAnsi="Arial"/>
          <w:b/>
          <w:bCs/>
          <w:lang w:val="fr-CA"/>
        </w:rPr>
        <w:t>—</w:t>
      </w:r>
      <w:r w:rsidRPr="00C278EA">
        <w:rPr>
          <w:rFonts w:ascii="Arial" w:hAnsi="Arial"/>
          <w:b/>
          <w:bCs/>
          <w:lang w:val="fr-CA"/>
        </w:rPr>
        <w:t xml:space="preserve"> Information de base</w:t>
      </w:r>
    </w:p>
    <w:tbl>
      <w:tblPr>
        <w:tblStyle w:val="CanadianBloodServicesTable1"/>
        <w:tblW w:w="9355" w:type="dxa"/>
        <w:tblCellMar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6115"/>
        <w:gridCol w:w="504"/>
        <w:gridCol w:w="504"/>
        <w:gridCol w:w="2232"/>
      </w:tblGrid>
      <w:tr w:rsidR="00D64803" w:rsidTr="00D57148">
        <w:trPr>
          <w:trHeight w:val="20"/>
        </w:trPr>
        <w:tc>
          <w:tcPr>
            <w:tcW w:w="6115" w:type="dxa"/>
          </w:tcPr>
          <w:p w:rsidR="00C278EA" w:rsidRPr="00C278EA" w:rsidRDefault="000401F5" w:rsidP="00803874">
            <w:pPr>
              <w:ind w:right="144"/>
              <w:rPr>
                <w:rFonts w:asciiTheme="majorHAnsi" w:hAnsiTheme="majorHAnsi"/>
                <w:b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Politique et procédure</w:t>
            </w:r>
          </w:p>
        </w:tc>
        <w:tc>
          <w:tcPr>
            <w:tcW w:w="504" w:type="dxa"/>
            <w:vAlign w:val="center"/>
          </w:tcPr>
          <w:p w:rsidR="00C278EA" w:rsidRPr="00C278EA" w:rsidRDefault="000401F5" w:rsidP="00803874">
            <w:pPr>
              <w:jc w:val="center"/>
              <w:rPr>
                <w:rFonts w:asciiTheme="majorHAnsi" w:hAnsiTheme="majorHAnsi"/>
                <w:b/>
                <w:bCs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Oui</w:t>
            </w:r>
          </w:p>
        </w:tc>
        <w:tc>
          <w:tcPr>
            <w:tcW w:w="504" w:type="dxa"/>
            <w:vAlign w:val="center"/>
          </w:tcPr>
          <w:p w:rsidR="00C278EA" w:rsidRPr="00C278EA" w:rsidRDefault="000401F5" w:rsidP="00803874">
            <w:pPr>
              <w:ind w:right="18"/>
              <w:jc w:val="center"/>
              <w:rPr>
                <w:rFonts w:asciiTheme="majorHAnsi" w:hAnsiTheme="majorHAnsi"/>
                <w:b/>
                <w:bCs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Non</w:t>
            </w:r>
          </w:p>
        </w:tc>
        <w:tc>
          <w:tcPr>
            <w:tcW w:w="2232" w:type="dxa"/>
            <w:vAlign w:val="center"/>
          </w:tcPr>
          <w:p w:rsidR="00C278EA" w:rsidRPr="00C278EA" w:rsidRDefault="000401F5" w:rsidP="00803874">
            <w:pPr>
              <w:ind w:right="24"/>
              <w:jc w:val="center"/>
              <w:rPr>
                <w:rFonts w:asciiTheme="majorHAnsi" w:hAnsiTheme="majorHAnsi"/>
                <w:b/>
                <w:bCs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Commentaires</w:t>
            </w:r>
          </w:p>
        </w:tc>
      </w:tr>
      <w:tr w:rsidR="00D64803" w:rsidRPr="00A37E3C" w:rsidTr="00D57148">
        <w:trPr>
          <w:trHeight w:val="20"/>
        </w:trPr>
        <w:tc>
          <w:tcPr>
            <w:tcW w:w="6115" w:type="dxa"/>
            <w:vAlign w:val="center"/>
          </w:tcPr>
          <w:p w:rsidR="00C278EA" w:rsidRPr="00450D21" w:rsidRDefault="000401F5" w:rsidP="00C278EA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L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établissement dispose-t-il d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une politique particulière sur l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arrêt des TMFV?</w:t>
            </w:r>
          </w:p>
        </w:tc>
        <w:tc>
          <w:tcPr>
            <w:tcW w:w="504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504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2232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D57148">
        <w:trPr>
          <w:trHeight w:val="20"/>
        </w:trPr>
        <w:tc>
          <w:tcPr>
            <w:tcW w:w="6115" w:type="dxa"/>
            <w:vAlign w:val="center"/>
          </w:tcPr>
          <w:p w:rsidR="00C278EA" w:rsidRPr="00450D21" w:rsidRDefault="000401F5" w:rsidP="00C278EA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La politique fait-elle référence aux lignes directrices de la SCSI sur l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arrêt des TMFV?</w:t>
            </w:r>
          </w:p>
        </w:tc>
        <w:tc>
          <w:tcPr>
            <w:tcW w:w="504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504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2232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D57148">
        <w:trPr>
          <w:trHeight w:val="20"/>
        </w:trPr>
        <w:tc>
          <w:tcPr>
            <w:tcW w:w="6115" w:type="dxa"/>
            <w:vAlign w:val="center"/>
          </w:tcPr>
          <w:p w:rsidR="00C278EA" w:rsidRPr="00450D21" w:rsidRDefault="000401F5" w:rsidP="00C278EA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L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établissement a-t-il un comité sur le don d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organes et de tissus?</w:t>
            </w:r>
          </w:p>
        </w:tc>
        <w:tc>
          <w:tcPr>
            <w:tcW w:w="504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504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2232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D57148">
        <w:trPr>
          <w:trHeight w:val="20"/>
        </w:trPr>
        <w:tc>
          <w:tcPr>
            <w:tcW w:w="6115" w:type="dxa"/>
            <w:vAlign w:val="center"/>
          </w:tcPr>
          <w:p w:rsidR="00C278EA" w:rsidRPr="00450D21" w:rsidRDefault="000401F5" w:rsidP="00C278EA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Le comité a-t-il examiné les lignes directrices de la SCSI sur l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arrêt des TMFV et la politique locale, s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il en existe une?</w:t>
            </w:r>
          </w:p>
        </w:tc>
        <w:tc>
          <w:tcPr>
            <w:tcW w:w="504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504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2232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D57148">
        <w:trPr>
          <w:trHeight w:val="20"/>
        </w:trPr>
        <w:tc>
          <w:tcPr>
            <w:tcW w:w="6115" w:type="dxa"/>
            <w:vAlign w:val="center"/>
          </w:tcPr>
          <w:p w:rsidR="00C278EA" w:rsidRPr="00450D21" w:rsidRDefault="00807B16" w:rsidP="00C278EA">
            <w:pPr>
              <w:ind w:right="144"/>
              <w:contextualSpacing/>
              <w:rPr>
                <w:sz w:val="19"/>
                <w:lang w:val="fr-CA"/>
              </w:rPr>
            </w:pPr>
            <w:r>
              <w:rPr>
                <w:sz w:val="19"/>
                <w:lang w:val="fr-CA"/>
              </w:rPr>
              <w:t>L</w:t>
            </w:r>
            <w:r w:rsidR="00450D21">
              <w:rPr>
                <w:sz w:val="19"/>
                <w:lang w:val="fr-CA"/>
              </w:rPr>
              <w:t>’</w:t>
            </w:r>
            <w:r w:rsidR="000401F5" w:rsidRPr="00C278EA">
              <w:rPr>
                <w:sz w:val="19"/>
                <w:lang w:val="fr-CA"/>
              </w:rPr>
              <w:t>établissement effectue</w:t>
            </w:r>
            <w:r>
              <w:rPr>
                <w:sz w:val="19"/>
                <w:lang w:val="fr-CA"/>
              </w:rPr>
              <w:t>-t-il</w:t>
            </w:r>
            <w:r w:rsidR="000401F5" w:rsidRPr="00C278EA">
              <w:rPr>
                <w:sz w:val="19"/>
                <w:lang w:val="fr-CA"/>
              </w:rPr>
              <w:t xml:space="preserve"> un examen régulier ou un audit des cas d</w:t>
            </w:r>
            <w:r w:rsidR="00450D21">
              <w:rPr>
                <w:sz w:val="19"/>
                <w:lang w:val="fr-CA"/>
              </w:rPr>
              <w:t>’</w:t>
            </w:r>
            <w:r w:rsidR="000401F5" w:rsidRPr="00C278EA">
              <w:rPr>
                <w:sz w:val="19"/>
                <w:lang w:val="fr-CA"/>
              </w:rPr>
              <w:t>arrêt des TMFV?</w:t>
            </w:r>
          </w:p>
          <w:p w:rsidR="00C278EA" w:rsidRPr="00450D21" w:rsidRDefault="000401F5" w:rsidP="00C278EA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Si oui, y a-t-il un outil d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audit des cas?</w:t>
            </w:r>
          </w:p>
        </w:tc>
        <w:tc>
          <w:tcPr>
            <w:tcW w:w="504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504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2232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D57148">
        <w:trPr>
          <w:trHeight w:val="20"/>
        </w:trPr>
        <w:tc>
          <w:tcPr>
            <w:tcW w:w="6115" w:type="dxa"/>
            <w:vAlign w:val="center"/>
          </w:tcPr>
          <w:p w:rsidR="00C278EA" w:rsidRPr="00450D21" w:rsidRDefault="000401F5" w:rsidP="00C278EA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Y a-t-il un processus en place pour évaluer les résultats de l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audit et les communiquer à intervalle</w:t>
            </w:r>
            <w:r w:rsidR="00450D21">
              <w:rPr>
                <w:sz w:val="19"/>
                <w:lang w:val="fr-CA"/>
              </w:rPr>
              <w:t>s</w:t>
            </w:r>
            <w:r w:rsidRPr="00C278EA">
              <w:rPr>
                <w:sz w:val="19"/>
                <w:lang w:val="fr-CA"/>
              </w:rPr>
              <w:t xml:space="preserve"> prédéfinis? </w:t>
            </w:r>
          </w:p>
          <w:p w:rsidR="00C278EA" w:rsidRPr="00450D21" w:rsidRDefault="000401F5" w:rsidP="00C278EA">
            <w:pPr>
              <w:keepLines/>
              <w:numPr>
                <w:ilvl w:val="0"/>
                <w:numId w:val="26"/>
              </w:numPr>
              <w:spacing w:line="264" w:lineRule="auto"/>
              <w:ind w:left="360" w:hanging="180"/>
              <w:rPr>
                <w:sz w:val="19"/>
                <w:lang w:val="fr-CA"/>
              </w:rPr>
            </w:pPr>
            <w:r>
              <w:rPr>
                <w:sz w:val="19"/>
                <w:lang w:val="fr-CA"/>
              </w:rPr>
              <w:t>une personne chargée de mener les audits</w:t>
            </w:r>
            <w:r w:rsidR="00381EFE">
              <w:rPr>
                <w:sz w:val="19"/>
                <w:lang w:val="fr-CA"/>
              </w:rPr>
              <w:t>?</w:t>
            </w:r>
          </w:p>
          <w:p w:rsidR="00C278EA" w:rsidRPr="00450D21" w:rsidRDefault="000401F5" w:rsidP="00C278EA">
            <w:pPr>
              <w:keepLines/>
              <w:numPr>
                <w:ilvl w:val="0"/>
                <w:numId w:val="26"/>
              </w:numPr>
              <w:spacing w:line="264" w:lineRule="auto"/>
              <w:ind w:left="360" w:hanging="180"/>
              <w:rPr>
                <w:sz w:val="19"/>
                <w:lang w:val="fr-CA"/>
              </w:rPr>
            </w:pPr>
            <w:r>
              <w:rPr>
                <w:sz w:val="19"/>
                <w:lang w:val="fr-CA"/>
              </w:rPr>
              <w:t>une personne chargée de l</w:t>
            </w:r>
            <w:r w:rsidR="00450D21">
              <w:rPr>
                <w:sz w:val="19"/>
                <w:lang w:val="fr-CA"/>
              </w:rPr>
              <w:t>’</w:t>
            </w:r>
            <w:r>
              <w:rPr>
                <w:sz w:val="19"/>
                <w:lang w:val="fr-CA"/>
              </w:rPr>
              <w:t>analyse et de la rétroaction</w:t>
            </w:r>
            <w:r w:rsidR="00381EFE">
              <w:rPr>
                <w:sz w:val="19"/>
                <w:lang w:val="fr-CA"/>
              </w:rPr>
              <w:t>?</w:t>
            </w:r>
          </w:p>
          <w:p w:rsidR="00C278EA" w:rsidRPr="00450D21" w:rsidRDefault="000401F5" w:rsidP="00C278EA">
            <w:pPr>
              <w:keepLines/>
              <w:numPr>
                <w:ilvl w:val="0"/>
                <w:numId w:val="26"/>
              </w:numPr>
              <w:spacing w:line="264" w:lineRule="auto"/>
              <w:ind w:left="360" w:hanging="180"/>
              <w:rPr>
                <w:rFonts w:ascii="Times New Roman" w:hAnsi="Times New Roman"/>
                <w:kern w:val="2"/>
                <w:lang w:val="fr-CA"/>
              </w:rPr>
            </w:pPr>
            <w:r>
              <w:rPr>
                <w:sz w:val="19"/>
                <w:lang w:val="fr-CA"/>
              </w:rPr>
              <w:t>une personne chargée de prendre les mesures nécessaires selon les résultats</w:t>
            </w:r>
            <w:r w:rsidR="00381EFE">
              <w:rPr>
                <w:sz w:val="19"/>
                <w:lang w:val="fr-CA"/>
              </w:rPr>
              <w:t>?</w:t>
            </w:r>
          </w:p>
        </w:tc>
        <w:tc>
          <w:tcPr>
            <w:tcW w:w="504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504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2232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D57148">
        <w:trPr>
          <w:trHeight w:val="20"/>
        </w:trPr>
        <w:tc>
          <w:tcPr>
            <w:tcW w:w="6115" w:type="dxa"/>
            <w:tcBorders>
              <w:bottom w:val="single" w:sz="2" w:space="0" w:color="000000" w:themeColor="text1"/>
            </w:tcBorders>
            <w:vAlign w:val="center"/>
          </w:tcPr>
          <w:p w:rsidR="00C278EA" w:rsidRPr="00450D21" w:rsidRDefault="000401F5" w:rsidP="00C278EA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Existe-t-il un processus pour établir un plan de soins interprofessionnel pour chaque patient en matière d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 xml:space="preserve">arrêt des TMFV? </w:t>
            </w:r>
          </w:p>
          <w:p w:rsidR="00C278EA" w:rsidRPr="00450D21" w:rsidRDefault="00450D21" w:rsidP="00C278EA">
            <w:pPr>
              <w:ind w:right="144"/>
              <w:contextualSpacing/>
              <w:rPr>
                <w:sz w:val="19"/>
                <w:lang w:val="fr-CA"/>
              </w:rPr>
            </w:pPr>
            <w:r>
              <w:rPr>
                <w:sz w:val="19"/>
                <w:lang w:val="fr-CA"/>
              </w:rPr>
              <w:t>(</w:t>
            </w:r>
            <w:r w:rsidR="000401F5" w:rsidRPr="00C278EA">
              <w:rPr>
                <w:sz w:val="19"/>
                <w:lang w:val="fr-CA"/>
              </w:rPr>
              <w:t>par ex., un caucus obligatoire pour discuter des responsabilités</w:t>
            </w:r>
            <w:r w:rsidR="00807B16">
              <w:rPr>
                <w:sz w:val="19"/>
                <w:lang w:val="fr-CA"/>
              </w:rPr>
              <w:t xml:space="preserve"> de chacun</w:t>
            </w:r>
            <w:r w:rsidR="000401F5" w:rsidRPr="00C278EA">
              <w:rPr>
                <w:sz w:val="19"/>
                <w:lang w:val="fr-CA"/>
              </w:rPr>
              <w:t>)</w:t>
            </w:r>
          </w:p>
        </w:tc>
        <w:tc>
          <w:tcPr>
            <w:tcW w:w="504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504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2232" w:type="dxa"/>
            <w:vAlign w:val="center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D57148">
        <w:trPr>
          <w:trHeight w:val="20"/>
        </w:trPr>
        <w:tc>
          <w:tcPr>
            <w:tcW w:w="6115" w:type="dxa"/>
            <w:vMerge w:val="restart"/>
            <w:tcBorders>
              <w:top w:val="single" w:sz="2" w:space="0" w:color="000000" w:themeColor="text1"/>
            </w:tcBorders>
            <w:vAlign w:val="center"/>
          </w:tcPr>
          <w:p w:rsidR="00C278EA" w:rsidRPr="00450D21" w:rsidRDefault="000401F5" w:rsidP="00C278EA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Offre-t-on régulièrement des séances de formation sur le rôle du personnel en matière d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arrêt des TMFV à l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intention:</w:t>
            </w:r>
          </w:p>
          <w:p w:rsidR="00C278EA" w:rsidRPr="00C278EA" w:rsidRDefault="000401F5" w:rsidP="00C278EA">
            <w:pPr>
              <w:keepLines/>
              <w:numPr>
                <w:ilvl w:val="0"/>
                <w:numId w:val="26"/>
              </w:numPr>
              <w:spacing w:before="100" w:after="100" w:line="264" w:lineRule="auto"/>
              <w:ind w:left="230" w:hanging="43"/>
              <w:rPr>
                <w:sz w:val="19"/>
              </w:rPr>
            </w:pPr>
            <w:r>
              <w:rPr>
                <w:sz w:val="19"/>
                <w:lang w:val="fr-CA"/>
              </w:rPr>
              <w:lastRenderedPageBreak/>
              <w:t>des médecins</w:t>
            </w:r>
            <w:r w:rsidR="00381EFE">
              <w:rPr>
                <w:sz w:val="19"/>
                <w:lang w:val="fr-CA"/>
              </w:rPr>
              <w:t>?</w:t>
            </w:r>
          </w:p>
          <w:p w:rsidR="00C278EA" w:rsidRPr="00C278EA" w:rsidRDefault="000401F5" w:rsidP="00C278EA">
            <w:pPr>
              <w:keepLines/>
              <w:numPr>
                <w:ilvl w:val="0"/>
                <w:numId w:val="26"/>
              </w:numPr>
              <w:spacing w:before="100" w:after="100" w:line="264" w:lineRule="auto"/>
              <w:ind w:left="230" w:hanging="43"/>
              <w:rPr>
                <w:sz w:val="19"/>
              </w:rPr>
            </w:pPr>
            <w:r>
              <w:rPr>
                <w:sz w:val="19"/>
                <w:lang w:val="fr-CA"/>
              </w:rPr>
              <w:t>des infirmières</w:t>
            </w:r>
            <w:r w:rsidR="00381EFE">
              <w:rPr>
                <w:sz w:val="19"/>
                <w:lang w:val="fr-CA"/>
              </w:rPr>
              <w:t>?</w:t>
            </w:r>
          </w:p>
          <w:p w:rsidR="00C278EA" w:rsidRPr="00C278EA" w:rsidRDefault="000401F5" w:rsidP="00C278EA">
            <w:pPr>
              <w:keepLines/>
              <w:numPr>
                <w:ilvl w:val="0"/>
                <w:numId w:val="26"/>
              </w:numPr>
              <w:spacing w:before="100" w:after="100" w:line="264" w:lineRule="auto"/>
              <w:ind w:left="230" w:hanging="43"/>
              <w:rPr>
                <w:sz w:val="19"/>
              </w:rPr>
            </w:pPr>
            <w:r w:rsidRPr="00C278EA">
              <w:rPr>
                <w:sz w:val="19"/>
                <w:lang w:val="fr-CA"/>
              </w:rPr>
              <w:t>des inhalothérapeutes</w:t>
            </w:r>
            <w:r w:rsidR="00381EFE">
              <w:rPr>
                <w:sz w:val="19"/>
                <w:lang w:val="fr-CA"/>
              </w:rPr>
              <w:t>?</w:t>
            </w:r>
          </w:p>
          <w:p w:rsidR="00C278EA" w:rsidRPr="00450D21" w:rsidRDefault="000401F5" w:rsidP="00C278EA">
            <w:pPr>
              <w:ind w:right="144"/>
              <w:contextualSpacing/>
              <w:rPr>
                <w:i/>
                <w:sz w:val="19"/>
                <w:lang w:val="fr-CA"/>
              </w:rPr>
            </w:pPr>
            <w:r w:rsidRPr="00A063E9">
              <w:rPr>
                <w:i/>
                <w:iCs/>
                <w:sz w:val="19"/>
                <w:lang w:val="fr-CA"/>
              </w:rPr>
              <w:t xml:space="preserve">Veuillez cocher Oui ou Non pour chaque professionnel et indiquer la fréquence dans les commentaires. </w:t>
            </w:r>
          </w:p>
        </w:tc>
        <w:tc>
          <w:tcPr>
            <w:tcW w:w="1008" w:type="dxa"/>
            <w:gridSpan w:val="2"/>
            <w:shd w:val="clear" w:color="auto" w:fill="D9D9D9" w:themeFill="background1" w:themeFillShade="D9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D57148">
        <w:trPr>
          <w:trHeight w:val="20"/>
        </w:trPr>
        <w:tc>
          <w:tcPr>
            <w:tcW w:w="6115" w:type="dxa"/>
            <w:vMerge/>
            <w:vAlign w:val="center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2232" w:type="dxa"/>
            <w:vMerge/>
            <w:vAlign w:val="center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D57148">
        <w:trPr>
          <w:trHeight w:val="20"/>
        </w:trPr>
        <w:tc>
          <w:tcPr>
            <w:tcW w:w="6115" w:type="dxa"/>
            <w:vMerge/>
            <w:vAlign w:val="center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2232" w:type="dxa"/>
            <w:vMerge/>
            <w:vAlign w:val="center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D57148">
        <w:trPr>
          <w:trHeight w:val="20"/>
        </w:trPr>
        <w:tc>
          <w:tcPr>
            <w:tcW w:w="6115" w:type="dxa"/>
            <w:vMerge/>
            <w:vAlign w:val="center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2232" w:type="dxa"/>
            <w:vMerge/>
            <w:vAlign w:val="center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D57148">
        <w:trPr>
          <w:trHeight w:val="20"/>
        </w:trPr>
        <w:tc>
          <w:tcPr>
            <w:tcW w:w="6115" w:type="dxa"/>
            <w:vMerge/>
            <w:vAlign w:val="center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1008" w:type="dxa"/>
            <w:gridSpan w:val="2"/>
            <w:shd w:val="clear" w:color="auto" w:fill="D9D9D9" w:themeFill="background1" w:themeFillShade="D9"/>
            <w:vAlign w:val="center"/>
          </w:tcPr>
          <w:p w:rsidR="00C278EA" w:rsidRPr="00450D21" w:rsidRDefault="001115FC" w:rsidP="00C278EA">
            <w:pPr>
              <w:ind w:right="144"/>
              <w:contextualSpacing/>
              <w:jc w:val="center"/>
              <w:rPr>
                <w:sz w:val="19"/>
                <w:lang w:val="fr-CA"/>
              </w:rPr>
            </w:pPr>
          </w:p>
        </w:tc>
        <w:tc>
          <w:tcPr>
            <w:tcW w:w="2232" w:type="dxa"/>
            <w:vMerge/>
            <w:vAlign w:val="center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D57148">
        <w:trPr>
          <w:trHeight w:val="20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vAlign w:val="center"/>
          </w:tcPr>
          <w:p w:rsidR="00C278EA" w:rsidRPr="00450D21" w:rsidRDefault="000401F5" w:rsidP="00AC404F">
            <w:pPr>
              <w:ind w:left="900" w:hanging="900"/>
              <w:rPr>
                <w:b/>
                <w:lang w:val="fr-CA"/>
              </w:rPr>
            </w:pPr>
            <w:r w:rsidRPr="00C278EA">
              <w:rPr>
                <w:b/>
                <w:bCs/>
                <w:lang w:val="fr-CA"/>
              </w:rPr>
              <w:t>Notes</w:t>
            </w:r>
            <w:r w:rsidR="00450D21">
              <w:rPr>
                <w:b/>
                <w:bCs/>
                <w:lang w:val="fr-CA"/>
              </w:rPr>
              <w:t> </w:t>
            </w:r>
            <w:r w:rsidRPr="00C278EA">
              <w:rPr>
                <w:b/>
                <w:bCs/>
                <w:lang w:val="fr-CA"/>
              </w:rPr>
              <w:t>:</w:t>
            </w:r>
            <w:r w:rsidR="00AC404F">
              <w:rPr>
                <w:b/>
                <w:bCs/>
                <w:lang w:val="fr-CA"/>
              </w:rPr>
              <w:tab/>
            </w:r>
            <w:r w:rsidRPr="00C278EA">
              <w:rPr>
                <w:i/>
                <w:iCs/>
                <w:sz w:val="18"/>
                <w:lang w:val="fr-CA"/>
              </w:rPr>
              <w:t>(Tout élément manquant doit être indiqué dans la section Mesures à prendre</w:t>
            </w:r>
            <w:r w:rsidR="00381EFE">
              <w:rPr>
                <w:i/>
                <w:iCs/>
                <w:sz w:val="18"/>
                <w:lang w:val="fr-CA"/>
              </w:rPr>
              <w:t xml:space="preserve"> à la fin de la présente annexe</w:t>
            </w:r>
            <w:r w:rsidRPr="00C278EA">
              <w:rPr>
                <w:i/>
                <w:iCs/>
                <w:sz w:val="18"/>
                <w:lang w:val="fr-CA"/>
              </w:rPr>
              <w:t>.)</w:t>
            </w:r>
          </w:p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  <w:p w:rsidR="00A063E9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  <w:p w:rsidR="00A063E9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</w:tbl>
    <w:p w:rsidR="00C278EA" w:rsidRPr="00450D21" w:rsidRDefault="000401F5" w:rsidP="00C278EA">
      <w:pPr>
        <w:spacing w:before="300" w:after="40"/>
        <w:rPr>
          <w:rFonts w:ascii="Arial" w:hAnsi="Arial"/>
          <w:b/>
          <w:lang w:val="fr-CA"/>
        </w:rPr>
      </w:pPr>
      <w:r w:rsidRPr="00C278EA">
        <w:rPr>
          <w:rFonts w:ascii="Arial" w:hAnsi="Arial"/>
          <w:b/>
          <w:bCs/>
          <w:lang w:val="fr-CA"/>
        </w:rPr>
        <w:t>Préparation de l</w:t>
      </w:r>
      <w:r w:rsidR="00450D21">
        <w:rPr>
          <w:rFonts w:ascii="Arial" w:hAnsi="Arial"/>
          <w:b/>
          <w:bCs/>
          <w:lang w:val="fr-CA"/>
        </w:rPr>
        <w:t>’</w:t>
      </w:r>
      <w:r w:rsidRPr="00C278EA">
        <w:rPr>
          <w:rFonts w:ascii="Arial" w:hAnsi="Arial"/>
          <w:b/>
          <w:bCs/>
          <w:lang w:val="fr-CA"/>
        </w:rPr>
        <w:t>arrêt des TMFV</w:t>
      </w:r>
    </w:p>
    <w:tbl>
      <w:tblPr>
        <w:tblStyle w:val="CanadianBloodServicesTable1"/>
        <w:tblW w:w="9355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091"/>
        <w:gridCol w:w="504"/>
        <w:gridCol w:w="532"/>
        <w:gridCol w:w="2228"/>
      </w:tblGrid>
      <w:tr w:rsidR="00D64803" w:rsidTr="00A063E9">
        <w:tc>
          <w:tcPr>
            <w:tcW w:w="6115" w:type="dxa"/>
          </w:tcPr>
          <w:p w:rsidR="00C278EA" w:rsidRPr="00450D21" w:rsidRDefault="000401F5" w:rsidP="00803874">
            <w:pPr>
              <w:ind w:right="144"/>
              <w:rPr>
                <w:rFonts w:asciiTheme="majorHAnsi" w:hAnsiTheme="majorHAnsi"/>
                <w:b/>
                <w:color w:val="006E5E" w:themeColor="accent1"/>
                <w:kern w:val="2"/>
                <w:sz w:val="19"/>
                <w:lang w:val="fr-CA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Préparation de l</w:t>
            </w:r>
            <w:r w:rsidR="00450D21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’</w:t>
            </w: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arrêt des TMFV</w:t>
            </w:r>
          </w:p>
        </w:tc>
        <w:tc>
          <w:tcPr>
            <w:tcW w:w="504" w:type="dxa"/>
            <w:vAlign w:val="center"/>
          </w:tcPr>
          <w:p w:rsidR="00C278EA" w:rsidRPr="00C278EA" w:rsidRDefault="000401F5" w:rsidP="00803874">
            <w:pPr>
              <w:jc w:val="center"/>
              <w:rPr>
                <w:rFonts w:asciiTheme="majorHAnsi" w:hAnsiTheme="majorHAnsi"/>
                <w:b/>
                <w:bCs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Oui</w:t>
            </w:r>
          </w:p>
        </w:tc>
        <w:tc>
          <w:tcPr>
            <w:tcW w:w="504" w:type="dxa"/>
            <w:vAlign w:val="center"/>
          </w:tcPr>
          <w:p w:rsidR="00C278EA" w:rsidRPr="00C278EA" w:rsidRDefault="000401F5" w:rsidP="00803874">
            <w:pPr>
              <w:ind w:right="18"/>
              <w:jc w:val="center"/>
              <w:rPr>
                <w:rFonts w:asciiTheme="majorHAnsi" w:hAnsiTheme="majorHAnsi"/>
                <w:b/>
                <w:bCs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Non</w:t>
            </w:r>
          </w:p>
        </w:tc>
        <w:tc>
          <w:tcPr>
            <w:tcW w:w="2232" w:type="dxa"/>
            <w:vAlign w:val="center"/>
          </w:tcPr>
          <w:p w:rsidR="00C278EA" w:rsidRPr="00C278EA" w:rsidRDefault="000401F5" w:rsidP="00803874">
            <w:pPr>
              <w:ind w:right="24"/>
              <w:jc w:val="center"/>
              <w:rPr>
                <w:rFonts w:asciiTheme="majorHAnsi" w:hAnsiTheme="majorHAnsi"/>
                <w:b/>
                <w:bCs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Commentaires</w:t>
            </w:r>
          </w:p>
        </w:tc>
      </w:tr>
      <w:tr w:rsidR="00D64803" w:rsidRPr="00A37E3C" w:rsidTr="00A063E9">
        <w:trPr>
          <w:trHeight w:val="432"/>
        </w:trPr>
        <w:tc>
          <w:tcPr>
            <w:tcW w:w="6115" w:type="dxa"/>
            <w:vAlign w:val="center"/>
          </w:tcPr>
          <w:p w:rsidR="00C278EA" w:rsidRPr="00450D21" w:rsidRDefault="000401F5" w:rsidP="00C84E99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L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unité peut-elle offrir une chambre individuelle aux patients en fin de vie?</w:t>
            </w:r>
          </w:p>
          <w:p w:rsidR="00C278EA" w:rsidRPr="00450D21" w:rsidRDefault="000401F5" w:rsidP="00A063E9">
            <w:pPr>
              <w:ind w:right="-72"/>
              <w:contextualSpacing/>
              <w:rPr>
                <w:i/>
                <w:sz w:val="19"/>
                <w:lang w:val="fr-CA"/>
              </w:rPr>
            </w:pPr>
            <w:r w:rsidRPr="00A063E9">
              <w:rPr>
                <w:i/>
                <w:iCs/>
                <w:sz w:val="19"/>
                <w:lang w:val="fr-CA"/>
              </w:rPr>
              <w:t>Si oui, précisez la fréquence (par ex., toujours, habituellement, parfois).</w:t>
            </w:r>
          </w:p>
        </w:tc>
        <w:tc>
          <w:tcPr>
            <w:tcW w:w="504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32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432"/>
        </w:trPr>
        <w:tc>
          <w:tcPr>
            <w:tcW w:w="6115" w:type="dxa"/>
            <w:vAlign w:val="center"/>
          </w:tcPr>
          <w:p w:rsidR="00C278EA" w:rsidRPr="00450D21" w:rsidRDefault="000401F5" w:rsidP="00C84E99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A-t-on une pièce distincte où les membres de la famille peuvent se rassembler, surtout si leur proche est en fin de vie?</w:t>
            </w:r>
          </w:p>
          <w:p w:rsidR="00C278EA" w:rsidRPr="00450D21" w:rsidRDefault="000401F5" w:rsidP="00A063E9">
            <w:pPr>
              <w:ind w:right="-252"/>
              <w:contextualSpacing/>
              <w:rPr>
                <w:i/>
                <w:sz w:val="19"/>
                <w:lang w:val="fr-CA"/>
              </w:rPr>
            </w:pPr>
            <w:r w:rsidRPr="00A063E9">
              <w:rPr>
                <w:i/>
                <w:iCs/>
                <w:sz w:val="19"/>
                <w:lang w:val="fr-CA"/>
              </w:rPr>
              <w:t xml:space="preserve">Si oui, précisez la fréquence (par ex., toujours, habituellement, parfois). </w:t>
            </w:r>
          </w:p>
        </w:tc>
        <w:tc>
          <w:tcPr>
            <w:tcW w:w="504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32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432"/>
        </w:trPr>
        <w:tc>
          <w:tcPr>
            <w:tcW w:w="6115" w:type="dxa"/>
            <w:vAlign w:val="center"/>
          </w:tcPr>
          <w:p w:rsidR="00C278EA" w:rsidRPr="00450D21" w:rsidRDefault="000401F5" w:rsidP="00A063E9">
            <w:pPr>
              <w:ind w:right="-72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Dispose-t-on d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outils dans le milieu (par ex., une affiche) indiquant de manière discrète qu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une procédure d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arrêt des TMFV est en cours (libéraliser les visites, etc.)?</w:t>
            </w:r>
          </w:p>
        </w:tc>
        <w:tc>
          <w:tcPr>
            <w:tcW w:w="504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32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432"/>
        </w:trPr>
        <w:tc>
          <w:tcPr>
            <w:tcW w:w="6115" w:type="dxa"/>
            <w:vAlign w:val="center"/>
          </w:tcPr>
          <w:p w:rsidR="00C278EA" w:rsidRPr="00450D21" w:rsidRDefault="000401F5" w:rsidP="00C84E99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Offre-t-on un soutien aux familles pour les aider à gérer leur chagrin?</w:t>
            </w:r>
          </w:p>
          <w:p w:rsidR="00C278EA" w:rsidRPr="00450D21" w:rsidRDefault="000401F5" w:rsidP="00C84E99">
            <w:pPr>
              <w:ind w:right="144"/>
              <w:contextualSpacing/>
              <w:rPr>
                <w:i/>
                <w:sz w:val="19"/>
                <w:lang w:val="fr-CA"/>
              </w:rPr>
            </w:pPr>
            <w:r w:rsidRPr="00A063E9">
              <w:rPr>
                <w:i/>
                <w:iCs/>
                <w:sz w:val="19"/>
                <w:lang w:val="fr-CA"/>
              </w:rPr>
              <w:t xml:space="preserve">Si oui, veuillez indiquer qui offre ce service. </w:t>
            </w:r>
          </w:p>
        </w:tc>
        <w:tc>
          <w:tcPr>
            <w:tcW w:w="504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32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432"/>
        </w:trPr>
        <w:tc>
          <w:tcPr>
            <w:tcW w:w="6115" w:type="dxa"/>
            <w:vAlign w:val="center"/>
          </w:tcPr>
          <w:p w:rsidR="00C278EA" w:rsidRPr="00450D21" w:rsidRDefault="000401F5" w:rsidP="00AC404F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L</w:t>
            </w:r>
            <w:r w:rsidR="00AC404F">
              <w:rPr>
                <w:sz w:val="19"/>
                <w:lang w:val="fr-CA"/>
              </w:rPr>
              <w:t xml:space="preserve">es </w:t>
            </w:r>
            <w:r w:rsidRPr="00C278EA">
              <w:rPr>
                <w:sz w:val="19"/>
                <w:lang w:val="fr-CA"/>
              </w:rPr>
              <w:t xml:space="preserve">familles </w:t>
            </w:r>
            <w:r w:rsidR="00AC404F">
              <w:rPr>
                <w:sz w:val="19"/>
                <w:lang w:val="fr-CA"/>
              </w:rPr>
              <w:t>sont</w:t>
            </w:r>
            <w:r w:rsidRPr="00C278EA">
              <w:rPr>
                <w:sz w:val="19"/>
                <w:lang w:val="fr-CA"/>
              </w:rPr>
              <w:t>-elle</w:t>
            </w:r>
            <w:r w:rsidR="00AC404F">
              <w:rPr>
                <w:sz w:val="19"/>
                <w:lang w:val="fr-CA"/>
              </w:rPr>
              <w:t xml:space="preserve">s </w:t>
            </w:r>
            <w:r w:rsidRPr="00C278EA">
              <w:rPr>
                <w:sz w:val="19"/>
                <w:lang w:val="fr-CA"/>
              </w:rPr>
              <w:t>bienvenue</w:t>
            </w:r>
            <w:r w:rsidR="00AC404F">
              <w:rPr>
                <w:sz w:val="19"/>
                <w:lang w:val="fr-CA"/>
              </w:rPr>
              <w:t>s</w:t>
            </w:r>
            <w:r w:rsidRPr="00C278EA">
              <w:rPr>
                <w:sz w:val="19"/>
                <w:lang w:val="fr-CA"/>
              </w:rPr>
              <w:t xml:space="preserve"> au moment de l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arrêt des TMFV et peu</w:t>
            </w:r>
            <w:r w:rsidR="00AC404F">
              <w:rPr>
                <w:sz w:val="19"/>
                <w:lang w:val="fr-CA"/>
              </w:rPr>
              <w:t>ven</w:t>
            </w:r>
            <w:r w:rsidRPr="00C278EA">
              <w:rPr>
                <w:sz w:val="19"/>
                <w:lang w:val="fr-CA"/>
              </w:rPr>
              <w:t>t-elle</w:t>
            </w:r>
            <w:r w:rsidR="00AC404F">
              <w:rPr>
                <w:sz w:val="19"/>
                <w:lang w:val="fr-CA"/>
              </w:rPr>
              <w:t>s</w:t>
            </w:r>
            <w:r w:rsidRPr="00C278EA">
              <w:rPr>
                <w:sz w:val="19"/>
                <w:lang w:val="fr-CA"/>
              </w:rPr>
              <w:t xml:space="preserve"> participer aux soins du patient avant, pendant et après</w:t>
            </w:r>
            <w:r w:rsidR="00AC404F">
              <w:rPr>
                <w:sz w:val="19"/>
                <w:lang w:val="fr-CA"/>
              </w:rPr>
              <w:t xml:space="preserve"> la procédure</w:t>
            </w:r>
            <w:r w:rsidRPr="00C278EA">
              <w:rPr>
                <w:sz w:val="19"/>
                <w:lang w:val="fr-CA"/>
              </w:rPr>
              <w:t>?</w:t>
            </w:r>
          </w:p>
        </w:tc>
        <w:tc>
          <w:tcPr>
            <w:tcW w:w="504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32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432"/>
        </w:trPr>
        <w:tc>
          <w:tcPr>
            <w:tcW w:w="6115" w:type="dxa"/>
            <w:vAlign w:val="center"/>
          </w:tcPr>
          <w:p w:rsidR="00C278EA" w:rsidRPr="00450D21" w:rsidRDefault="000401F5" w:rsidP="00C84E99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 xml:space="preserve">Dans les cas difficiles ou compliqués, les professionnels sont encouragés à chercher des conseils et du soutien auprès de leurs collègues. </w:t>
            </w:r>
          </w:p>
        </w:tc>
        <w:tc>
          <w:tcPr>
            <w:tcW w:w="504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32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432"/>
        </w:trPr>
        <w:tc>
          <w:tcPr>
            <w:tcW w:w="9355" w:type="dxa"/>
            <w:gridSpan w:val="4"/>
          </w:tcPr>
          <w:p w:rsidR="00C278EA" w:rsidRPr="00450D21" w:rsidRDefault="000401F5" w:rsidP="00AC404F">
            <w:pPr>
              <w:ind w:left="900" w:hanging="900"/>
              <w:rPr>
                <w:b/>
                <w:lang w:val="fr-CA"/>
              </w:rPr>
            </w:pPr>
            <w:r w:rsidRPr="00C278EA">
              <w:rPr>
                <w:b/>
                <w:bCs/>
                <w:lang w:val="fr-CA"/>
              </w:rPr>
              <w:t>Notes:</w:t>
            </w:r>
            <w:r w:rsidR="00AC404F">
              <w:rPr>
                <w:b/>
                <w:bCs/>
                <w:lang w:val="fr-CA"/>
              </w:rPr>
              <w:tab/>
            </w:r>
            <w:r w:rsidRPr="00C278EA">
              <w:rPr>
                <w:i/>
                <w:iCs/>
                <w:sz w:val="18"/>
                <w:lang w:val="fr-CA"/>
              </w:rPr>
              <w:t>(Tout élément manquant doit être indiqué dans la section Mesures à prendre</w:t>
            </w:r>
            <w:r w:rsidR="00AC404F">
              <w:rPr>
                <w:i/>
                <w:iCs/>
                <w:sz w:val="18"/>
                <w:lang w:val="fr-CA"/>
              </w:rPr>
              <w:t xml:space="preserve"> à la fin de la présente annexe</w:t>
            </w:r>
            <w:r w:rsidRPr="00C278EA">
              <w:rPr>
                <w:i/>
                <w:iCs/>
                <w:sz w:val="18"/>
                <w:lang w:val="fr-CA"/>
              </w:rPr>
              <w:t>.)</w:t>
            </w:r>
          </w:p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</w:tbl>
    <w:p w:rsidR="00DB3EFE" w:rsidRDefault="00DB3EFE" w:rsidP="00C278EA">
      <w:pPr>
        <w:spacing w:before="300" w:after="40"/>
        <w:rPr>
          <w:rFonts w:ascii="Arial" w:hAnsi="Arial"/>
          <w:b/>
          <w:bCs/>
          <w:lang w:val="fr-CA"/>
        </w:rPr>
      </w:pPr>
    </w:p>
    <w:p w:rsidR="00DB3EFE" w:rsidRDefault="00DB3EFE" w:rsidP="00C278EA">
      <w:pPr>
        <w:spacing w:before="300" w:after="40"/>
        <w:rPr>
          <w:rFonts w:ascii="Arial" w:hAnsi="Arial"/>
          <w:b/>
          <w:bCs/>
          <w:lang w:val="fr-CA"/>
        </w:rPr>
      </w:pPr>
    </w:p>
    <w:p w:rsidR="00DB3EFE" w:rsidRDefault="00DB3EFE" w:rsidP="00C278EA">
      <w:pPr>
        <w:spacing w:before="300" w:after="40"/>
        <w:rPr>
          <w:rFonts w:ascii="Arial" w:hAnsi="Arial"/>
          <w:b/>
          <w:bCs/>
          <w:lang w:val="fr-CA"/>
        </w:rPr>
      </w:pPr>
    </w:p>
    <w:p w:rsidR="00DB3EFE" w:rsidRDefault="00DB3EFE" w:rsidP="00C278EA">
      <w:pPr>
        <w:spacing w:before="300" w:after="40"/>
        <w:rPr>
          <w:rFonts w:ascii="Arial" w:hAnsi="Arial"/>
          <w:b/>
          <w:bCs/>
          <w:lang w:val="fr-CA"/>
        </w:rPr>
      </w:pPr>
    </w:p>
    <w:p w:rsidR="00DB3EFE" w:rsidRDefault="00DB3EFE" w:rsidP="00C278EA">
      <w:pPr>
        <w:spacing w:before="300" w:after="40"/>
        <w:rPr>
          <w:rFonts w:ascii="Arial" w:hAnsi="Arial"/>
          <w:b/>
          <w:bCs/>
          <w:lang w:val="fr-CA"/>
        </w:rPr>
      </w:pPr>
    </w:p>
    <w:p w:rsidR="00C278EA" w:rsidRPr="00450D21" w:rsidRDefault="000401F5" w:rsidP="00C278EA">
      <w:pPr>
        <w:spacing w:before="300" w:after="40"/>
        <w:rPr>
          <w:rFonts w:ascii="Arial" w:hAnsi="Arial"/>
          <w:b/>
          <w:lang w:val="fr-CA"/>
        </w:rPr>
      </w:pPr>
      <w:r w:rsidRPr="00C278EA">
        <w:rPr>
          <w:rFonts w:ascii="Arial" w:hAnsi="Arial"/>
          <w:b/>
          <w:bCs/>
          <w:lang w:val="fr-CA"/>
        </w:rPr>
        <w:lastRenderedPageBreak/>
        <w:t>Évaluation de la détresse pendant l</w:t>
      </w:r>
      <w:r w:rsidR="00450D21">
        <w:rPr>
          <w:rFonts w:ascii="Arial" w:hAnsi="Arial"/>
          <w:b/>
          <w:bCs/>
          <w:lang w:val="fr-CA"/>
        </w:rPr>
        <w:t>’</w:t>
      </w:r>
      <w:r w:rsidRPr="00C278EA">
        <w:rPr>
          <w:rFonts w:ascii="Arial" w:hAnsi="Arial"/>
          <w:b/>
          <w:bCs/>
          <w:lang w:val="fr-CA"/>
        </w:rPr>
        <w:t>arrêt des TMFV</w:t>
      </w:r>
    </w:p>
    <w:tbl>
      <w:tblPr>
        <w:tblStyle w:val="CanadianBloodServicesTable1"/>
        <w:tblW w:w="9373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091"/>
        <w:gridCol w:w="504"/>
        <w:gridCol w:w="532"/>
        <w:gridCol w:w="2246"/>
      </w:tblGrid>
      <w:tr w:rsidR="00D64803" w:rsidTr="00A063E9">
        <w:tc>
          <w:tcPr>
            <w:tcW w:w="6115" w:type="dxa"/>
          </w:tcPr>
          <w:p w:rsidR="00C278EA" w:rsidRPr="00450D21" w:rsidRDefault="000401F5" w:rsidP="00803874">
            <w:pPr>
              <w:ind w:right="144"/>
              <w:rPr>
                <w:rFonts w:asciiTheme="majorHAnsi" w:hAnsiTheme="majorHAnsi"/>
                <w:b/>
                <w:color w:val="006E5E" w:themeColor="accent1"/>
                <w:kern w:val="2"/>
                <w:sz w:val="19"/>
                <w:lang w:val="fr-CA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Évaluation de la détresse pendant l</w:t>
            </w:r>
            <w:r w:rsidR="00450D21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’</w:t>
            </w: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arrêt des TMFV</w:t>
            </w:r>
          </w:p>
        </w:tc>
        <w:tc>
          <w:tcPr>
            <w:tcW w:w="504" w:type="dxa"/>
            <w:vAlign w:val="center"/>
          </w:tcPr>
          <w:p w:rsidR="00C278EA" w:rsidRPr="00C278EA" w:rsidRDefault="000401F5" w:rsidP="00803874">
            <w:pPr>
              <w:jc w:val="center"/>
              <w:rPr>
                <w:rFonts w:asciiTheme="majorHAnsi" w:hAnsiTheme="majorHAnsi"/>
                <w:b/>
                <w:bCs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Oui</w:t>
            </w:r>
          </w:p>
        </w:tc>
        <w:tc>
          <w:tcPr>
            <w:tcW w:w="504" w:type="dxa"/>
            <w:vAlign w:val="center"/>
          </w:tcPr>
          <w:p w:rsidR="00C278EA" w:rsidRPr="00C278EA" w:rsidRDefault="000401F5" w:rsidP="00803874">
            <w:pPr>
              <w:ind w:right="18"/>
              <w:jc w:val="center"/>
              <w:rPr>
                <w:rFonts w:asciiTheme="majorHAnsi" w:hAnsiTheme="majorHAnsi"/>
                <w:b/>
                <w:bCs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Non</w:t>
            </w:r>
          </w:p>
        </w:tc>
        <w:tc>
          <w:tcPr>
            <w:tcW w:w="2250" w:type="dxa"/>
            <w:vAlign w:val="center"/>
          </w:tcPr>
          <w:p w:rsidR="00C278EA" w:rsidRPr="00C278EA" w:rsidRDefault="000401F5" w:rsidP="00803874">
            <w:pPr>
              <w:ind w:right="24"/>
              <w:jc w:val="center"/>
              <w:rPr>
                <w:rFonts w:asciiTheme="majorHAnsi" w:hAnsiTheme="majorHAnsi"/>
                <w:b/>
                <w:bCs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Commentaires</w:t>
            </w:r>
          </w:p>
        </w:tc>
      </w:tr>
      <w:tr w:rsidR="00D64803" w:rsidRPr="00A37E3C" w:rsidTr="00A063E9">
        <w:trPr>
          <w:trHeight w:val="432"/>
        </w:trPr>
        <w:tc>
          <w:tcPr>
            <w:tcW w:w="6115" w:type="dxa"/>
            <w:tcBorders>
              <w:bottom w:val="single" w:sz="2" w:space="0" w:color="000000" w:themeColor="text1"/>
            </w:tcBorders>
            <w:vAlign w:val="center"/>
          </w:tcPr>
          <w:p w:rsidR="00C278EA" w:rsidRPr="00450D21" w:rsidRDefault="000401F5" w:rsidP="00C84E99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Y a-t-il un outil de documentation particulier pour consigner la nature et le traitement des symptômes pendant l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 xml:space="preserve">arrêt des TMFV? </w:t>
            </w:r>
          </w:p>
        </w:tc>
        <w:tc>
          <w:tcPr>
            <w:tcW w:w="504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50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418"/>
        </w:trPr>
        <w:tc>
          <w:tcPr>
            <w:tcW w:w="6115" w:type="dxa"/>
            <w:vMerge w:val="restart"/>
            <w:tcBorders>
              <w:top w:val="single" w:sz="2" w:space="0" w:color="000000" w:themeColor="text1"/>
            </w:tcBorders>
            <w:vAlign w:val="center"/>
          </w:tcPr>
          <w:p w:rsidR="00C278EA" w:rsidRPr="00450D21" w:rsidRDefault="000401F5" w:rsidP="00C84E99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Cet outil contient-il des échelles d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évaluation ou d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autres mesures objectives uniformisées permettant d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évaluer les aspects suivants</w:t>
            </w:r>
            <w:r w:rsidR="00450D21">
              <w:rPr>
                <w:sz w:val="19"/>
                <w:lang w:val="fr-CA"/>
              </w:rPr>
              <w:t> </w:t>
            </w:r>
            <w:r w:rsidRPr="00C278EA">
              <w:rPr>
                <w:sz w:val="19"/>
                <w:lang w:val="fr-CA"/>
              </w:rPr>
              <w:t xml:space="preserve">: </w:t>
            </w:r>
          </w:p>
          <w:p w:rsidR="00C278EA" w:rsidRPr="00C278EA" w:rsidRDefault="000401F5" w:rsidP="006654E7">
            <w:pPr>
              <w:keepLines/>
              <w:numPr>
                <w:ilvl w:val="0"/>
                <w:numId w:val="26"/>
              </w:numPr>
              <w:spacing w:before="100" w:after="100" w:line="264" w:lineRule="auto"/>
              <w:ind w:left="230" w:hanging="43"/>
              <w:rPr>
                <w:sz w:val="19"/>
              </w:rPr>
            </w:pPr>
            <w:r>
              <w:rPr>
                <w:sz w:val="19"/>
                <w:lang w:val="fr-CA"/>
              </w:rPr>
              <w:t>la douleur</w:t>
            </w:r>
            <w:r w:rsidR="006F2B46">
              <w:rPr>
                <w:sz w:val="19"/>
                <w:lang w:val="fr-CA"/>
              </w:rPr>
              <w:t>?</w:t>
            </w:r>
          </w:p>
          <w:p w:rsidR="00C278EA" w:rsidRPr="00C278EA" w:rsidRDefault="000401F5" w:rsidP="006654E7">
            <w:pPr>
              <w:keepLines/>
              <w:numPr>
                <w:ilvl w:val="0"/>
                <w:numId w:val="26"/>
              </w:numPr>
              <w:spacing w:before="100" w:after="100" w:line="264" w:lineRule="auto"/>
              <w:ind w:left="230" w:hanging="43"/>
              <w:rPr>
                <w:sz w:val="19"/>
              </w:rPr>
            </w:pPr>
            <w:r>
              <w:rPr>
                <w:sz w:val="19"/>
                <w:lang w:val="fr-CA"/>
              </w:rPr>
              <w:t>la détresse respiratoire</w:t>
            </w:r>
            <w:r w:rsidR="006F2B46">
              <w:rPr>
                <w:sz w:val="19"/>
                <w:lang w:val="fr-CA"/>
              </w:rPr>
              <w:t>?</w:t>
            </w:r>
          </w:p>
          <w:p w:rsidR="00C278EA" w:rsidRPr="00C278EA" w:rsidRDefault="000401F5" w:rsidP="006654E7">
            <w:pPr>
              <w:keepLines/>
              <w:numPr>
                <w:ilvl w:val="0"/>
                <w:numId w:val="26"/>
              </w:numPr>
              <w:spacing w:before="100" w:after="100" w:line="264" w:lineRule="auto"/>
              <w:ind w:left="230" w:hanging="43"/>
              <w:rPr>
                <w:sz w:val="19"/>
              </w:rPr>
            </w:pPr>
            <w:r>
              <w:rPr>
                <w:sz w:val="19"/>
                <w:lang w:val="fr-CA"/>
              </w:rPr>
              <w:t>l</w:t>
            </w:r>
            <w:r w:rsidR="00450D21">
              <w:rPr>
                <w:sz w:val="19"/>
                <w:lang w:val="fr-CA"/>
              </w:rPr>
              <w:t>’</w:t>
            </w:r>
            <w:r>
              <w:rPr>
                <w:sz w:val="19"/>
                <w:lang w:val="fr-CA"/>
              </w:rPr>
              <w:t>agitation</w:t>
            </w:r>
            <w:r w:rsidR="006F2B46">
              <w:rPr>
                <w:sz w:val="19"/>
                <w:lang w:val="fr-CA"/>
              </w:rPr>
              <w:t>?</w:t>
            </w:r>
          </w:p>
          <w:p w:rsidR="00C278EA" w:rsidRPr="00C278EA" w:rsidRDefault="000401F5" w:rsidP="006654E7">
            <w:pPr>
              <w:keepLines/>
              <w:numPr>
                <w:ilvl w:val="0"/>
                <w:numId w:val="26"/>
              </w:numPr>
              <w:spacing w:before="100" w:after="100" w:line="264" w:lineRule="auto"/>
              <w:ind w:left="230" w:hanging="43"/>
              <w:rPr>
                <w:rFonts w:ascii="Times New Roman" w:hAnsi="Times New Roman"/>
                <w:kern w:val="2"/>
              </w:rPr>
            </w:pPr>
            <w:r>
              <w:rPr>
                <w:sz w:val="19"/>
                <w:lang w:val="fr-CA"/>
              </w:rPr>
              <w:t>le délirium</w:t>
            </w:r>
            <w:r w:rsidR="006F2B46">
              <w:rPr>
                <w:sz w:val="19"/>
                <w:lang w:val="fr-CA"/>
              </w:rPr>
              <w:t>?</w:t>
            </w:r>
          </w:p>
          <w:p w:rsidR="00C278EA" w:rsidRPr="00450D21" w:rsidRDefault="000401F5" w:rsidP="00D57148">
            <w:pPr>
              <w:keepLines/>
              <w:spacing w:before="0" w:after="0"/>
              <w:ind w:left="216" w:hanging="216"/>
              <w:rPr>
                <w:rFonts w:ascii="Times New Roman" w:hAnsi="Times New Roman"/>
                <w:i/>
                <w:kern w:val="2"/>
                <w:lang w:val="fr-CA"/>
              </w:rPr>
            </w:pPr>
            <w:r w:rsidRPr="00A063E9">
              <w:rPr>
                <w:i/>
                <w:iCs/>
                <w:sz w:val="19"/>
                <w:lang w:val="fr-CA"/>
              </w:rPr>
              <w:t xml:space="preserve">Veuillez cocher Oui ou Non pour chacun des éléments. 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50" w:type="dxa"/>
            <w:vMerge w:val="restart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193"/>
        </w:trPr>
        <w:tc>
          <w:tcPr>
            <w:tcW w:w="6115" w:type="dxa"/>
            <w:vMerge/>
            <w:vAlign w:val="center"/>
          </w:tcPr>
          <w:p w:rsidR="00C278EA" w:rsidRPr="00450D21" w:rsidRDefault="001115FC" w:rsidP="00C84E99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  <w:shd w:val="clear" w:color="auto" w:fill="auto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  <w:shd w:val="clear" w:color="auto" w:fill="auto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50" w:type="dxa"/>
            <w:vMerge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193"/>
        </w:trPr>
        <w:tc>
          <w:tcPr>
            <w:tcW w:w="6115" w:type="dxa"/>
            <w:vMerge/>
            <w:vAlign w:val="center"/>
          </w:tcPr>
          <w:p w:rsidR="00C278EA" w:rsidRPr="00450D21" w:rsidRDefault="001115FC" w:rsidP="00C84E99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  <w:shd w:val="clear" w:color="auto" w:fill="auto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  <w:shd w:val="clear" w:color="auto" w:fill="auto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50" w:type="dxa"/>
            <w:vMerge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31"/>
        </w:trPr>
        <w:tc>
          <w:tcPr>
            <w:tcW w:w="6115" w:type="dxa"/>
            <w:vMerge/>
            <w:vAlign w:val="center"/>
          </w:tcPr>
          <w:p w:rsidR="00C278EA" w:rsidRPr="00450D21" w:rsidRDefault="001115FC" w:rsidP="00C84E99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  <w:shd w:val="clear" w:color="auto" w:fill="auto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  <w:shd w:val="clear" w:color="auto" w:fill="auto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50" w:type="dxa"/>
            <w:vMerge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184"/>
        </w:trPr>
        <w:tc>
          <w:tcPr>
            <w:tcW w:w="6115" w:type="dxa"/>
            <w:vMerge/>
            <w:vAlign w:val="center"/>
          </w:tcPr>
          <w:p w:rsidR="00C278EA" w:rsidRPr="00450D21" w:rsidRDefault="001115FC" w:rsidP="00C84E99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  <w:shd w:val="clear" w:color="auto" w:fill="auto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  <w:shd w:val="clear" w:color="auto" w:fill="auto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50" w:type="dxa"/>
            <w:vMerge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20"/>
        </w:trPr>
        <w:tc>
          <w:tcPr>
            <w:tcW w:w="6115" w:type="dxa"/>
            <w:vMerge/>
            <w:tcBorders>
              <w:bottom w:val="nil"/>
            </w:tcBorders>
            <w:vAlign w:val="center"/>
          </w:tcPr>
          <w:p w:rsidR="00C278EA" w:rsidRPr="00450D21" w:rsidRDefault="001115FC" w:rsidP="00C84E99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</w:tcPr>
          <w:p w:rsidR="00C278EA" w:rsidRPr="00450D21" w:rsidRDefault="001115FC" w:rsidP="00C278EA">
            <w:pPr>
              <w:ind w:right="144"/>
              <w:contextualSpacing/>
              <w:rPr>
                <w:sz w:val="12"/>
                <w:lang w:val="fr-CA"/>
              </w:rPr>
            </w:pPr>
          </w:p>
        </w:tc>
        <w:tc>
          <w:tcPr>
            <w:tcW w:w="504" w:type="dxa"/>
            <w:shd w:val="clear" w:color="auto" w:fill="D9D9D9" w:themeFill="background1" w:themeFillShade="D9"/>
          </w:tcPr>
          <w:p w:rsidR="00C278EA" w:rsidRPr="00450D21" w:rsidRDefault="001115FC" w:rsidP="00C278EA">
            <w:pPr>
              <w:ind w:right="144"/>
              <w:contextualSpacing/>
              <w:rPr>
                <w:sz w:val="12"/>
                <w:lang w:val="fr-CA"/>
              </w:rPr>
            </w:pPr>
          </w:p>
        </w:tc>
        <w:tc>
          <w:tcPr>
            <w:tcW w:w="2250" w:type="dxa"/>
            <w:vMerge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432"/>
        </w:trPr>
        <w:tc>
          <w:tcPr>
            <w:tcW w:w="6115" w:type="dxa"/>
            <w:vAlign w:val="center"/>
          </w:tcPr>
          <w:p w:rsidR="00C278EA" w:rsidRPr="00450D21" w:rsidRDefault="000401F5" w:rsidP="00C84E99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Donne-t-on de la formation au personnel sur la façon d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 xml:space="preserve">aider les familles à évaluer les symptômes en fin de vie? </w:t>
            </w:r>
          </w:p>
        </w:tc>
        <w:tc>
          <w:tcPr>
            <w:tcW w:w="504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04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50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432"/>
        </w:trPr>
        <w:tc>
          <w:tcPr>
            <w:tcW w:w="9373" w:type="dxa"/>
            <w:gridSpan w:val="4"/>
          </w:tcPr>
          <w:p w:rsidR="00C278EA" w:rsidRPr="00450D21" w:rsidRDefault="000401F5" w:rsidP="006F2B46">
            <w:pPr>
              <w:ind w:left="900" w:hanging="900"/>
              <w:rPr>
                <w:b/>
                <w:lang w:val="fr-CA"/>
              </w:rPr>
            </w:pPr>
            <w:r w:rsidRPr="00C278EA">
              <w:rPr>
                <w:b/>
                <w:bCs/>
                <w:lang w:val="fr-CA"/>
              </w:rPr>
              <w:t>Notes:</w:t>
            </w:r>
            <w:r w:rsidR="006F2B46">
              <w:rPr>
                <w:b/>
                <w:bCs/>
                <w:lang w:val="fr-CA"/>
              </w:rPr>
              <w:tab/>
            </w:r>
            <w:r w:rsidRPr="00C278EA">
              <w:rPr>
                <w:i/>
                <w:iCs/>
                <w:sz w:val="18"/>
                <w:lang w:val="fr-CA"/>
              </w:rPr>
              <w:t>(Tout élément manquant doit être indiqué dans la section Mesures à prendre</w:t>
            </w:r>
            <w:r w:rsidR="006F2B46">
              <w:rPr>
                <w:i/>
                <w:iCs/>
                <w:sz w:val="18"/>
                <w:lang w:val="fr-CA"/>
              </w:rPr>
              <w:t xml:space="preserve"> à la fin de la présente annexe</w:t>
            </w:r>
            <w:r w:rsidRPr="00C278EA">
              <w:rPr>
                <w:i/>
                <w:iCs/>
                <w:sz w:val="18"/>
                <w:lang w:val="fr-CA"/>
              </w:rPr>
              <w:t>.)</w:t>
            </w:r>
          </w:p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</w:tbl>
    <w:p w:rsidR="00C278EA" w:rsidRPr="00450D21" w:rsidRDefault="000401F5" w:rsidP="00C278EA">
      <w:pPr>
        <w:spacing w:before="300" w:after="40"/>
        <w:rPr>
          <w:rFonts w:ascii="Arial" w:hAnsi="Arial"/>
          <w:b/>
          <w:lang w:val="fr-CA"/>
        </w:rPr>
      </w:pPr>
      <w:r w:rsidRPr="00C278EA">
        <w:rPr>
          <w:rFonts w:ascii="Arial" w:hAnsi="Arial"/>
          <w:b/>
          <w:bCs/>
          <w:lang w:val="fr-CA"/>
        </w:rPr>
        <w:t>Interruption des traitements et de la surveillance</w:t>
      </w:r>
    </w:p>
    <w:tbl>
      <w:tblPr>
        <w:tblStyle w:val="CanadianBloodServicesTable1"/>
        <w:tblW w:w="9355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095"/>
        <w:gridCol w:w="482"/>
        <w:gridCol w:w="532"/>
        <w:gridCol w:w="2246"/>
      </w:tblGrid>
      <w:tr w:rsidR="00D64803" w:rsidTr="00A063E9">
        <w:trPr>
          <w:trHeight w:val="20"/>
        </w:trPr>
        <w:tc>
          <w:tcPr>
            <w:tcW w:w="6103" w:type="dxa"/>
          </w:tcPr>
          <w:p w:rsidR="00C278EA" w:rsidRPr="00450D21" w:rsidRDefault="000401F5" w:rsidP="00803874">
            <w:pPr>
              <w:ind w:right="144"/>
              <w:rPr>
                <w:rFonts w:asciiTheme="majorHAnsi" w:hAnsiTheme="majorHAnsi"/>
                <w:b/>
                <w:color w:val="006E5E" w:themeColor="accent1"/>
                <w:kern w:val="2"/>
                <w:sz w:val="19"/>
                <w:lang w:val="fr-CA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L</w:t>
            </w:r>
            <w:r w:rsidR="00450D21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’</w:t>
            </w: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unité dispose-t-elle des éléments suivants?</w:t>
            </w:r>
          </w:p>
        </w:tc>
        <w:tc>
          <w:tcPr>
            <w:tcW w:w="482" w:type="dxa"/>
            <w:vAlign w:val="center"/>
          </w:tcPr>
          <w:p w:rsidR="00C278EA" w:rsidRPr="00C278EA" w:rsidRDefault="000401F5" w:rsidP="00803874">
            <w:pPr>
              <w:jc w:val="center"/>
              <w:rPr>
                <w:rFonts w:asciiTheme="majorHAnsi" w:hAnsiTheme="majorHAnsi"/>
                <w:b/>
                <w:bCs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Oui</w:t>
            </w:r>
          </w:p>
        </w:tc>
        <w:tc>
          <w:tcPr>
            <w:tcW w:w="523" w:type="dxa"/>
            <w:vAlign w:val="center"/>
          </w:tcPr>
          <w:p w:rsidR="00C278EA" w:rsidRPr="00C278EA" w:rsidRDefault="000401F5" w:rsidP="00803874">
            <w:pPr>
              <w:ind w:right="18"/>
              <w:jc w:val="center"/>
              <w:rPr>
                <w:rFonts w:asciiTheme="majorHAnsi" w:hAnsiTheme="majorHAnsi"/>
                <w:b/>
                <w:bCs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Non</w:t>
            </w:r>
          </w:p>
        </w:tc>
        <w:tc>
          <w:tcPr>
            <w:tcW w:w="2247" w:type="dxa"/>
            <w:vAlign w:val="center"/>
          </w:tcPr>
          <w:p w:rsidR="00C278EA" w:rsidRPr="00C278EA" w:rsidRDefault="000401F5" w:rsidP="00803874">
            <w:pPr>
              <w:ind w:right="24"/>
              <w:jc w:val="center"/>
              <w:rPr>
                <w:rFonts w:asciiTheme="majorHAnsi" w:hAnsiTheme="majorHAnsi"/>
                <w:b/>
                <w:bCs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Commentaires</w:t>
            </w:r>
          </w:p>
        </w:tc>
      </w:tr>
      <w:tr w:rsidR="00D64803" w:rsidTr="00A063E9">
        <w:trPr>
          <w:trHeight w:val="20"/>
        </w:trPr>
        <w:tc>
          <w:tcPr>
            <w:tcW w:w="6103" w:type="dxa"/>
            <w:vAlign w:val="center"/>
          </w:tcPr>
          <w:p w:rsidR="00C278EA" w:rsidRPr="00450D21" w:rsidRDefault="000401F5" w:rsidP="00C84E99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Ligne directrice ou protocole clinique pour l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arrêt des TMFV</w:t>
            </w:r>
          </w:p>
          <w:p w:rsidR="00C278EA" w:rsidRPr="00C278EA" w:rsidRDefault="000401F5" w:rsidP="00C84E99">
            <w:pPr>
              <w:ind w:right="144"/>
              <w:contextualSpacing/>
              <w:rPr>
                <w:sz w:val="19"/>
              </w:rPr>
            </w:pPr>
            <w:r w:rsidRPr="00C278EA">
              <w:rPr>
                <w:sz w:val="19"/>
                <w:lang w:val="fr-CA"/>
              </w:rPr>
              <w:t>(procédure par étape)</w:t>
            </w:r>
          </w:p>
        </w:tc>
        <w:tc>
          <w:tcPr>
            <w:tcW w:w="482" w:type="dxa"/>
          </w:tcPr>
          <w:p w:rsidR="00C278EA" w:rsidRPr="00C278EA" w:rsidRDefault="001115FC" w:rsidP="00C278EA">
            <w:pPr>
              <w:ind w:right="144"/>
              <w:contextualSpacing/>
              <w:rPr>
                <w:sz w:val="19"/>
              </w:rPr>
            </w:pPr>
          </w:p>
        </w:tc>
        <w:tc>
          <w:tcPr>
            <w:tcW w:w="523" w:type="dxa"/>
          </w:tcPr>
          <w:p w:rsidR="00C278EA" w:rsidRPr="00C278EA" w:rsidRDefault="001115FC" w:rsidP="00C278EA">
            <w:pPr>
              <w:ind w:right="144"/>
              <w:contextualSpacing/>
              <w:rPr>
                <w:sz w:val="19"/>
              </w:rPr>
            </w:pPr>
          </w:p>
        </w:tc>
        <w:tc>
          <w:tcPr>
            <w:tcW w:w="2247" w:type="dxa"/>
          </w:tcPr>
          <w:p w:rsidR="00C278EA" w:rsidRPr="00C278EA" w:rsidRDefault="001115FC" w:rsidP="00C278EA">
            <w:pPr>
              <w:ind w:right="144"/>
              <w:contextualSpacing/>
              <w:rPr>
                <w:sz w:val="19"/>
              </w:rPr>
            </w:pPr>
          </w:p>
        </w:tc>
      </w:tr>
      <w:tr w:rsidR="00D64803" w:rsidRPr="00A37E3C" w:rsidTr="00A063E9">
        <w:trPr>
          <w:trHeight w:val="20"/>
        </w:trPr>
        <w:tc>
          <w:tcPr>
            <w:tcW w:w="6103" w:type="dxa"/>
            <w:vAlign w:val="center"/>
          </w:tcPr>
          <w:p w:rsidR="00C278EA" w:rsidRPr="00450D21" w:rsidRDefault="000401F5" w:rsidP="00C84E99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Liste de contrôle pour soutenir le processus d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arrêt des TMFV en temps réel pour chaque patient</w:t>
            </w:r>
          </w:p>
        </w:tc>
        <w:tc>
          <w:tcPr>
            <w:tcW w:w="482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23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47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20"/>
        </w:trPr>
        <w:tc>
          <w:tcPr>
            <w:tcW w:w="6103" w:type="dxa"/>
            <w:vAlign w:val="center"/>
          </w:tcPr>
          <w:p w:rsidR="00C278EA" w:rsidRPr="00450D21" w:rsidRDefault="000401F5" w:rsidP="00C84E99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Recueil de directives normalisées préimprimées pour l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arrêt des TMFV</w:t>
            </w:r>
          </w:p>
        </w:tc>
        <w:tc>
          <w:tcPr>
            <w:tcW w:w="482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23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47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20"/>
        </w:trPr>
        <w:tc>
          <w:tcPr>
            <w:tcW w:w="6103" w:type="dxa"/>
            <w:vAlign w:val="center"/>
          </w:tcPr>
          <w:p w:rsidR="00C278EA" w:rsidRPr="00450D21" w:rsidRDefault="000401F5" w:rsidP="00C84E99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Matériel de formation destiné au personnel sur le processus d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arrêt des TMFV</w:t>
            </w:r>
          </w:p>
        </w:tc>
        <w:tc>
          <w:tcPr>
            <w:tcW w:w="482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23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47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20"/>
        </w:trPr>
        <w:tc>
          <w:tcPr>
            <w:tcW w:w="6103" w:type="dxa"/>
            <w:vAlign w:val="center"/>
          </w:tcPr>
          <w:p w:rsidR="00C278EA" w:rsidRPr="00450D21" w:rsidRDefault="000401F5" w:rsidP="00C84E99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Matériel de formation destiné à la famille sur le processus d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arrêt des TMFV</w:t>
            </w:r>
          </w:p>
        </w:tc>
        <w:tc>
          <w:tcPr>
            <w:tcW w:w="482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23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47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20"/>
        </w:trPr>
        <w:tc>
          <w:tcPr>
            <w:tcW w:w="6103" w:type="dxa"/>
            <w:vAlign w:val="center"/>
          </w:tcPr>
          <w:p w:rsidR="00C278EA" w:rsidRPr="00450D21" w:rsidRDefault="000401F5" w:rsidP="00C84E99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Outils de documentation sur le processus d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arrêt des TMFV</w:t>
            </w:r>
          </w:p>
        </w:tc>
        <w:tc>
          <w:tcPr>
            <w:tcW w:w="482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523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47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20"/>
        </w:trPr>
        <w:tc>
          <w:tcPr>
            <w:tcW w:w="9355" w:type="dxa"/>
            <w:gridSpan w:val="4"/>
          </w:tcPr>
          <w:p w:rsidR="00C278EA" w:rsidRPr="00450D21" w:rsidRDefault="000401F5" w:rsidP="00802F8F">
            <w:pPr>
              <w:ind w:left="900" w:hanging="900"/>
              <w:rPr>
                <w:b/>
                <w:lang w:val="fr-CA"/>
              </w:rPr>
            </w:pPr>
            <w:r w:rsidRPr="00C278EA">
              <w:rPr>
                <w:b/>
                <w:bCs/>
                <w:lang w:val="fr-CA"/>
              </w:rPr>
              <w:t>Notes:</w:t>
            </w:r>
            <w:r w:rsidR="00802F8F">
              <w:rPr>
                <w:b/>
                <w:bCs/>
                <w:lang w:val="fr-CA"/>
              </w:rPr>
              <w:tab/>
            </w:r>
            <w:r w:rsidRPr="00C278EA">
              <w:rPr>
                <w:i/>
                <w:iCs/>
                <w:sz w:val="18"/>
                <w:lang w:val="fr-CA"/>
              </w:rPr>
              <w:t>(Tout élément manquant doit être indiqué dans la section Mesures à prendre</w:t>
            </w:r>
            <w:r w:rsidR="00802F8F">
              <w:rPr>
                <w:i/>
                <w:iCs/>
                <w:sz w:val="18"/>
                <w:lang w:val="fr-CA"/>
              </w:rPr>
              <w:t xml:space="preserve"> à la fin de la présente annexe</w:t>
            </w:r>
            <w:r w:rsidRPr="00C278EA">
              <w:rPr>
                <w:i/>
                <w:iCs/>
                <w:sz w:val="18"/>
                <w:lang w:val="fr-CA"/>
              </w:rPr>
              <w:t>.)</w:t>
            </w:r>
          </w:p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</w:tbl>
    <w:p w:rsidR="00DB3EFE" w:rsidRDefault="00DB3EFE" w:rsidP="00C278EA">
      <w:pPr>
        <w:spacing w:before="300" w:after="40"/>
        <w:rPr>
          <w:rFonts w:ascii="Arial" w:hAnsi="Arial"/>
          <w:b/>
          <w:bCs/>
          <w:lang w:val="fr-CA"/>
        </w:rPr>
      </w:pPr>
    </w:p>
    <w:p w:rsidR="00DB3EFE" w:rsidRDefault="00DB3EFE" w:rsidP="00C278EA">
      <w:pPr>
        <w:spacing w:before="300" w:after="40"/>
        <w:rPr>
          <w:rFonts w:ascii="Arial" w:hAnsi="Arial"/>
          <w:b/>
          <w:bCs/>
          <w:lang w:val="fr-CA"/>
        </w:rPr>
      </w:pPr>
    </w:p>
    <w:p w:rsidR="00DB3EFE" w:rsidRDefault="00DB3EFE" w:rsidP="00C278EA">
      <w:pPr>
        <w:spacing w:before="300" w:after="40"/>
        <w:rPr>
          <w:rFonts w:ascii="Arial" w:hAnsi="Arial"/>
          <w:b/>
          <w:bCs/>
          <w:lang w:val="fr-CA"/>
        </w:rPr>
      </w:pPr>
    </w:p>
    <w:p w:rsidR="00C278EA" w:rsidRPr="00450D21" w:rsidRDefault="000401F5" w:rsidP="00C278EA">
      <w:pPr>
        <w:spacing w:before="300" w:after="40"/>
        <w:rPr>
          <w:rFonts w:ascii="Arial" w:hAnsi="Arial" w:cs="Arial"/>
          <w:bCs/>
          <w:color w:val="323E4F" w:themeColor="text2" w:themeShade="BF"/>
          <w:szCs w:val="22"/>
          <w:lang w:val="fr-CA"/>
        </w:rPr>
      </w:pPr>
      <w:r w:rsidRPr="00C278EA">
        <w:rPr>
          <w:rFonts w:ascii="Arial" w:hAnsi="Arial"/>
          <w:b/>
          <w:bCs/>
          <w:lang w:val="fr-CA"/>
        </w:rPr>
        <w:lastRenderedPageBreak/>
        <w:t>Après l</w:t>
      </w:r>
      <w:r w:rsidR="00450D21">
        <w:rPr>
          <w:rFonts w:ascii="Arial" w:hAnsi="Arial"/>
          <w:b/>
          <w:bCs/>
          <w:lang w:val="fr-CA"/>
        </w:rPr>
        <w:t>’</w:t>
      </w:r>
      <w:r w:rsidRPr="00C278EA">
        <w:rPr>
          <w:rFonts w:ascii="Arial" w:hAnsi="Arial"/>
          <w:b/>
          <w:bCs/>
          <w:lang w:val="fr-CA"/>
        </w:rPr>
        <w:t>arrêt des TMFV et le décès du patient</w:t>
      </w:r>
    </w:p>
    <w:tbl>
      <w:tblPr>
        <w:tblStyle w:val="CanadianBloodServicesTable1"/>
        <w:tblW w:w="9355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065"/>
        <w:gridCol w:w="520"/>
        <w:gridCol w:w="532"/>
        <w:gridCol w:w="2238"/>
      </w:tblGrid>
      <w:tr w:rsidR="00D64803" w:rsidTr="00A063E9">
        <w:trPr>
          <w:trHeight w:val="20"/>
        </w:trPr>
        <w:tc>
          <w:tcPr>
            <w:tcW w:w="6134" w:type="dxa"/>
            <w:vAlign w:val="center"/>
          </w:tcPr>
          <w:p w:rsidR="00C278EA" w:rsidRPr="00450D21" w:rsidRDefault="000401F5" w:rsidP="00C84E99">
            <w:pPr>
              <w:ind w:right="144"/>
              <w:rPr>
                <w:rFonts w:asciiTheme="majorHAnsi" w:hAnsiTheme="majorHAnsi"/>
                <w:b/>
                <w:color w:val="006E5E" w:themeColor="accent1"/>
                <w:kern w:val="2"/>
                <w:sz w:val="19"/>
                <w:lang w:val="fr-CA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Les élé</w:t>
            </w:r>
            <w:r w:rsidR="00807B16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ments suivants sont-ils prévus</w:t>
            </w: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?</w:t>
            </w:r>
          </w:p>
        </w:tc>
        <w:tc>
          <w:tcPr>
            <w:tcW w:w="521" w:type="dxa"/>
            <w:vAlign w:val="center"/>
          </w:tcPr>
          <w:p w:rsidR="00C278EA" w:rsidRPr="00C278EA" w:rsidRDefault="000401F5" w:rsidP="00803874">
            <w:pPr>
              <w:jc w:val="center"/>
              <w:rPr>
                <w:rFonts w:asciiTheme="majorHAnsi" w:hAnsiTheme="majorHAnsi"/>
                <w:b/>
                <w:bCs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Oui</w:t>
            </w:r>
          </w:p>
        </w:tc>
        <w:tc>
          <w:tcPr>
            <w:tcW w:w="450" w:type="dxa"/>
            <w:vAlign w:val="center"/>
          </w:tcPr>
          <w:p w:rsidR="00C278EA" w:rsidRPr="00C278EA" w:rsidRDefault="000401F5" w:rsidP="00803874">
            <w:pPr>
              <w:ind w:right="18"/>
              <w:jc w:val="center"/>
              <w:rPr>
                <w:rFonts w:asciiTheme="majorHAnsi" w:hAnsiTheme="majorHAnsi"/>
                <w:b/>
                <w:bCs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Non</w:t>
            </w:r>
          </w:p>
        </w:tc>
        <w:tc>
          <w:tcPr>
            <w:tcW w:w="2250" w:type="dxa"/>
            <w:vAlign w:val="center"/>
          </w:tcPr>
          <w:p w:rsidR="00C278EA" w:rsidRPr="00C278EA" w:rsidRDefault="000401F5" w:rsidP="00803874">
            <w:pPr>
              <w:ind w:right="24"/>
              <w:jc w:val="center"/>
              <w:rPr>
                <w:rFonts w:asciiTheme="majorHAnsi" w:hAnsiTheme="majorHAnsi"/>
                <w:b/>
                <w:bCs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Commentaires</w:t>
            </w:r>
          </w:p>
        </w:tc>
      </w:tr>
      <w:tr w:rsidR="00D64803" w:rsidRPr="00A37E3C" w:rsidTr="00A063E9">
        <w:trPr>
          <w:trHeight w:val="20"/>
        </w:trPr>
        <w:tc>
          <w:tcPr>
            <w:tcW w:w="6134" w:type="dxa"/>
            <w:vAlign w:val="center"/>
          </w:tcPr>
          <w:p w:rsidR="00C278EA" w:rsidRPr="00450D21" w:rsidRDefault="000401F5" w:rsidP="00C84E99">
            <w:pPr>
              <w:tabs>
                <w:tab w:val="right" w:pos="5099"/>
              </w:tabs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Documentation sur le deuil destinée à la famille</w:t>
            </w:r>
          </w:p>
        </w:tc>
        <w:tc>
          <w:tcPr>
            <w:tcW w:w="521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450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50" w:type="dxa"/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A063E9">
        <w:trPr>
          <w:trHeight w:val="20"/>
        </w:trPr>
        <w:tc>
          <w:tcPr>
            <w:tcW w:w="6134" w:type="dxa"/>
            <w:tcBorders>
              <w:bottom w:val="single" w:sz="2" w:space="0" w:color="000000" w:themeColor="text1"/>
            </w:tcBorders>
            <w:vAlign w:val="center"/>
          </w:tcPr>
          <w:p w:rsidR="00C278EA" w:rsidRPr="00450D21" w:rsidRDefault="000401F5" w:rsidP="00C84E99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Sondage sur la satisfaction de la famille à l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égard du processus d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 xml:space="preserve">arrêt des TMFV </w:t>
            </w:r>
          </w:p>
          <w:p w:rsidR="00C278EA" w:rsidRPr="00A063E9" w:rsidRDefault="000401F5" w:rsidP="00C84E99">
            <w:pPr>
              <w:ind w:right="144"/>
              <w:contextualSpacing/>
              <w:rPr>
                <w:i/>
                <w:sz w:val="19"/>
              </w:rPr>
            </w:pPr>
            <w:r w:rsidRPr="00A063E9">
              <w:rPr>
                <w:i/>
                <w:iCs/>
                <w:sz w:val="19"/>
                <w:lang w:val="fr-CA"/>
              </w:rPr>
              <w:t>Si oui</w:t>
            </w:r>
            <w:r w:rsidR="00450D21">
              <w:rPr>
                <w:i/>
                <w:iCs/>
                <w:sz w:val="19"/>
                <w:lang w:val="fr-CA"/>
              </w:rPr>
              <w:t> </w:t>
            </w:r>
            <w:r w:rsidRPr="00A063E9">
              <w:rPr>
                <w:i/>
                <w:iCs/>
                <w:sz w:val="19"/>
                <w:lang w:val="fr-CA"/>
              </w:rPr>
              <w:t>:</w:t>
            </w:r>
            <w:r w:rsidRPr="00A063E9">
              <w:rPr>
                <w:sz w:val="19"/>
                <w:lang w:val="fr-CA"/>
              </w:rPr>
              <w:t xml:space="preserve"> </w:t>
            </w:r>
          </w:p>
          <w:p w:rsidR="00C278EA" w:rsidRPr="00450D21" w:rsidRDefault="000401F5" w:rsidP="00C84E99">
            <w:pPr>
              <w:keepLines/>
              <w:numPr>
                <w:ilvl w:val="0"/>
                <w:numId w:val="26"/>
              </w:numPr>
              <w:spacing w:line="264" w:lineRule="auto"/>
              <w:ind w:left="270" w:hanging="180"/>
              <w:rPr>
                <w:i/>
                <w:sz w:val="19"/>
                <w:lang w:val="fr-CA"/>
              </w:rPr>
            </w:pPr>
            <w:r w:rsidRPr="00A063E9">
              <w:rPr>
                <w:i/>
                <w:iCs/>
                <w:sz w:val="19"/>
                <w:lang w:val="fr-CA"/>
              </w:rPr>
              <w:t>à quelle fréquence est-il effectué?</w:t>
            </w:r>
            <w:r w:rsidRPr="00A063E9">
              <w:rPr>
                <w:sz w:val="19"/>
                <w:lang w:val="fr-CA"/>
              </w:rPr>
              <w:t xml:space="preserve"> </w:t>
            </w:r>
          </w:p>
          <w:p w:rsidR="00C278EA" w:rsidRPr="00A063E9" w:rsidRDefault="000401F5" w:rsidP="00C84E99">
            <w:pPr>
              <w:keepLines/>
              <w:numPr>
                <w:ilvl w:val="0"/>
                <w:numId w:val="26"/>
              </w:numPr>
              <w:spacing w:line="264" w:lineRule="auto"/>
              <w:ind w:left="270" w:hanging="180"/>
              <w:rPr>
                <w:i/>
                <w:sz w:val="19"/>
              </w:rPr>
            </w:pPr>
            <w:r w:rsidRPr="00A063E9">
              <w:rPr>
                <w:i/>
                <w:iCs/>
                <w:sz w:val="19"/>
                <w:lang w:val="fr-CA"/>
              </w:rPr>
              <w:t>qui envoie le sondage?</w:t>
            </w:r>
          </w:p>
          <w:p w:rsidR="00C278EA" w:rsidRPr="00450D21" w:rsidRDefault="000401F5" w:rsidP="00C84E99">
            <w:pPr>
              <w:keepLines/>
              <w:numPr>
                <w:ilvl w:val="0"/>
                <w:numId w:val="26"/>
              </w:numPr>
              <w:spacing w:line="264" w:lineRule="auto"/>
              <w:ind w:left="270" w:hanging="180"/>
              <w:rPr>
                <w:rFonts w:ascii="Times New Roman" w:hAnsi="Times New Roman"/>
                <w:kern w:val="2"/>
                <w:lang w:val="fr-CA"/>
              </w:rPr>
            </w:pPr>
            <w:r w:rsidRPr="00A063E9">
              <w:rPr>
                <w:i/>
                <w:iCs/>
                <w:sz w:val="19"/>
                <w:lang w:val="fr-CA"/>
              </w:rPr>
              <w:t>qui analyse les résultats du sondage?</w:t>
            </w:r>
          </w:p>
        </w:tc>
        <w:tc>
          <w:tcPr>
            <w:tcW w:w="521" w:type="dxa"/>
            <w:tcBorders>
              <w:bottom w:val="single" w:sz="2" w:space="0" w:color="000000" w:themeColor="text1"/>
            </w:tcBorders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450" w:type="dxa"/>
            <w:tcBorders>
              <w:bottom w:val="single" w:sz="2" w:space="0" w:color="000000" w:themeColor="text1"/>
            </w:tcBorders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50" w:type="dxa"/>
            <w:tcBorders>
              <w:bottom w:val="single" w:sz="2" w:space="0" w:color="000000" w:themeColor="text1"/>
            </w:tcBorders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5938B8">
        <w:trPr>
          <w:trHeight w:val="20"/>
        </w:trPr>
        <w:tc>
          <w:tcPr>
            <w:tcW w:w="613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78EA" w:rsidRPr="00450D21" w:rsidRDefault="000401F5" w:rsidP="00C84E99">
            <w:pPr>
              <w:ind w:right="144"/>
              <w:contextualSpacing/>
              <w:rPr>
                <w:sz w:val="19"/>
                <w:lang w:val="fr-CA"/>
              </w:rPr>
            </w:pPr>
            <w:r w:rsidRPr="00C278EA">
              <w:rPr>
                <w:sz w:val="19"/>
                <w:lang w:val="fr-CA"/>
              </w:rPr>
              <w:t>Processus de débreffage de l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équipe après l</w:t>
            </w:r>
            <w:r w:rsidR="00450D21">
              <w:rPr>
                <w:sz w:val="19"/>
                <w:lang w:val="fr-CA"/>
              </w:rPr>
              <w:t>’</w:t>
            </w:r>
            <w:r w:rsidRPr="00C278EA">
              <w:rPr>
                <w:sz w:val="19"/>
                <w:lang w:val="fr-CA"/>
              </w:rPr>
              <w:t>arrêt des TMFV</w:t>
            </w:r>
          </w:p>
          <w:p w:rsidR="00C278EA" w:rsidRPr="00A063E9" w:rsidRDefault="000401F5" w:rsidP="00C84E99">
            <w:pPr>
              <w:ind w:right="144"/>
              <w:contextualSpacing/>
              <w:rPr>
                <w:i/>
                <w:sz w:val="19"/>
              </w:rPr>
            </w:pPr>
            <w:r w:rsidRPr="00A063E9">
              <w:rPr>
                <w:i/>
                <w:iCs/>
                <w:sz w:val="19"/>
                <w:lang w:val="fr-CA"/>
              </w:rPr>
              <w:t>Si oui</w:t>
            </w:r>
            <w:r w:rsidR="00450D21">
              <w:rPr>
                <w:i/>
                <w:iCs/>
                <w:sz w:val="19"/>
                <w:lang w:val="fr-CA"/>
              </w:rPr>
              <w:t> </w:t>
            </w:r>
            <w:r w:rsidRPr="00A063E9">
              <w:rPr>
                <w:i/>
                <w:iCs/>
                <w:sz w:val="19"/>
                <w:lang w:val="fr-CA"/>
              </w:rPr>
              <w:t xml:space="preserve">: </w:t>
            </w:r>
          </w:p>
          <w:p w:rsidR="00C278EA" w:rsidRPr="00450D21" w:rsidRDefault="000401F5" w:rsidP="00C84E99">
            <w:pPr>
              <w:keepLines/>
              <w:numPr>
                <w:ilvl w:val="0"/>
                <w:numId w:val="26"/>
              </w:numPr>
              <w:spacing w:line="264" w:lineRule="auto"/>
              <w:ind w:left="270" w:hanging="180"/>
              <w:rPr>
                <w:i/>
                <w:sz w:val="19"/>
                <w:lang w:val="fr-CA"/>
              </w:rPr>
            </w:pPr>
            <w:r w:rsidRPr="00A063E9">
              <w:rPr>
                <w:i/>
                <w:iCs/>
                <w:sz w:val="19"/>
                <w:lang w:val="fr-CA"/>
              </w:rPr>
              <w:t>s</w:t>
            </w:r>
            <w:r w:rsidR="00450D21">
              <w:rPr>
                <w:i/>
                <w:iCs/>
                <w:sz w:val="19"/>
                <w:lang w:val="fr-CA"/>
              </w:rPr>
              <w:t>’</w:t>
            </w:r>
            <w:r w:rsidRPr="00A063E9">
              <w:rPr>
                <w:i/>
                <w:iCs/>
                <w:sz w:val="19"/>
                <w:lang w:val="fr-CA"/>
              </w:rPr>
              <w:t>agit-il d</w:t>
            </w:r>
            <w:r w:rsidR="00450D21">
              <w:rPr>
                <w:i/>
                <w:iCs/>
                <w:sz w:val="19"/>
                <w:lang w:val="fr-CA"/>
              </w:rPr>
              <w:t>’</w:t>
            </w:r>
            <w:r w:rsidRPr="00A063E9">
              <w:rPr>
                <w:i/>
                <w:iCs/>
                <w:sz w:val="19"/>
                <w:lang w:val="fr-CA"/>
              </w:rPr>
              <w:t>un processus formel?</w:t>
            </w:r>
          </w:p>
          <w:p w:rsidR="00C278EA" w:rsidRPr="00450D21" w:rsidRDefault="000401F5" w:rsidP="00C84E99">
            <w:pPr>
              <w:keepLines/>
              <w:numPr>
                <w:ilvl w:val="0"/>
                <w:numId w:val="26"/>
              </w:numPr>
              <w:spacing w:line="264" w:lineRule="auto"/>
              <w:ind w:left="270" w:hanging="180"/>
              <w:rPr>
                <w:i/>
                <w:sz w:val="19"/>
                <w:lang w:val="fr-CA"/>
              </w:rPr>
            </w:pPr>
            <w:r w:rsidRPr="00A063E9">
              <w:rPr>
                <w:i/>
                <w:iCs/>
                <w:sz w:val="19"/>
                <w:lang w:val="fr-CA"/>
              </w:rPr>
              <w:t>qui décide de la nécessité du débreffage?</w:t>
            </w:r>
          </w:p>
          <w:p w:rsidR="00C278EA" w:rsidRPr="00450D21" w:rsidRDefault="000401F5" w:rsidP="00C84E99">
            <w:pPr>
              <w:keepLines/>
              <w:numPr>
                <w:ilvl w:val="0"/>
                <w:numId w:val="26"/>
              </w:numPr>
              <w:spacing w:line="264" w:lineRule="auto"/>
              <w:ind w:left="270" w:hanging="180"/>
              <w:rPr>
                <w:rFonts w:ascii="Times New Roman" w:hAnsi="Times New Roman"/>
                <w:kern w:val="2"/>
                <w:lang w:val="fr-CA"/>
              </w:rPr>
            </w:pPr>
            <w:r w:rsidRPr="00A063E9">
              <w:rPr>
                <w:i/>
                <w:iCs/>
                <w:sz w:val="19"/>
                <w:lang w:val="fr-CA"/>
              </w:rPr>
              <w:t>qui mène la séance de débreffage?</w:t>
            </w:r>
            <w:r w:rsidRPr="00C278EA">
              <w:rPr>
                <w:rFonts w:ascii="Times New Roman" w:hAnsi="Times New Roman"/>
                <w:kern w:val="2"/>
                <w:lang w:val="fr-CA"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45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  <w:tc>
          <w:tcPr>
            <w:tcW w:w="225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278EA" w:rsidRPr="00450D21" w:rsidRDefault="001115FC" w:rsidP="00C278EA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  <w:tr w:rsidR="00D64803" w:rsidRPr="00A37E3C" w:rsidTr="0042079F">
        <w:trPr>
          <w:trHeight w:val="20"/>
        </w:trPr>
        <w:tc>
          <w:tcPr>
            <w:tcW w:w="9355" w:type="dxa"/>
            <w:gridSpan w:val="4"/>
            <w:tcBorders>
              <w:top w:val="single" w:sz="2" w:space="0" w:color="000000" w:themeColor="text1"/>
              <w:bottom w:val="single" w:sz="4" w:space="0" w:color="auto"/>
            </w:tcBorders>
          </w:tcPr>
          <w:p w:rsidR="005938B8" w:rsidRPr="00450D21" w:rsidRDefault="000401F5" w:rsidP="00DB3EFE">
            <w:pPr>
              <w:ind w:left="810" w:hanging="810"/>
              <w:rPr>
                <w:b/>
                <w:lang w:val="fr-CA"/>
              </w:rPr>
            </w:pPr>
            <w:r w:rsidRPr="00C278EA">
              <w:rPr>
                <w:b/>
                <w:bCs/>
                <w:lang w:val="fr-CA"/>
              </w:rPr>
              <w:t>Notes:</w:t>
            </w:r>
            <w:r w:rsidR="00F41D25">
              <w:rPr>
                <w:b/>
                <w:bCs/>
                <w:lang w:val="fr-CA"/>
              </w:rPr>
              <w:tab/>
            </w:r>
            <w:r w:rsidRPr="00C278EA">
              <w:rPr>
                <w:i/>
                <w:iCs/>
                <w:sz w:val="18"/>
                <w:lang w:val="fr-CA"/>
              </w:rPr>
              <w:t>(Tout élément manquant doit être indiqué dans la section Mesures à prendre</w:t>
            </w:r>
            <w:r w:rsidR="00F41D25">
              <w:rPr>
                <w:i/>
                <w:iCs/>
                <w:sz w:val="18"/>
                <w:lang w:val="fr-CA"/>
              </w:rPr>
              <w:t xml:space="preserve"> à la fin de la présente annexe</w:t>
            </w:r>
            <w:r w:rsidRPr="00C278EA">
              <w:rPr>
                <w:i/>
                <w:iCs/>
                <w:sz w:val="18"/>
                <w:lang w:val="fr-CA"/>
              </w:rPr>
              <w:t>.)</w:t>
            </w:r>
          </w:p>
          <w:p w:rsidR="005938B8" w:rsidRPr="00450D21" w:rsidRDefault="001115FC" w:rsidP="005938B8">
            <w:pPr>
              <w:ind w:right="144"/>
              <w:contextualSpacing/>
              <w:rPr>
                <w:sz w:val="19"/>
                <w:lang w:val="fr-CA"/>
              </w:rPr>
            </w:pPr>
          </w:p>
          <w:p w:rsidR="005938B8" w:rsidRPr="00450D21" w:rsidRDefault="001115FC" w:rsidP="005938B8">
            <w:pPr>
              <w:ind w:right="144"/>
              <w:contextualSpacing/>
              <w:rPr>
                <w:sz w:val="19"/>
                <w:lang w:val="fr-CA"/>
              </w:rPr>
            </w:pPr>
          </w:p>
          <w:p w:rsidR="005938B8" w:rsidRPr="00450D21" w:rsidRDefault="001115FC" w:rsidP="005938B8">
            <w:pPr>
              <w:ind w:right="144"/>
              <w:contextualSpacing/>
              <w:rPr>
                <w:sz w:val="19"/>
                <w:lang w:val="fr-CA"/>
              </w:rPr>
            </w:pPr>
          </w:p>
        </w:tc>
      </w:tr>
    </w:tbl>
    <w:p w:rsidR="00D57148" w:rsidRPr="00DB3EFE" w:rsidRDefault="00DB3EFE" w:rsidP="00DB3EFE">
      <w:pPr>
        <w:tabs>
          <w:tab w:val="left" w:pos="6093"/>
        </w:tabs>
        <w:spacing w:after="100" w:line="264" w:lineRule="auto"/>
        <w:rPr>
          <w:rFonts w:ascii="Times New Roman" w:hAnsi="Times New Roman"/>
          <w:kern w:val="2"/>
          <w:sz w:val="2"/>
          <w:lang w:val="fr-CA"/>
        </w:rPr>
      </w:pPr>
      <w:r>
        <w:rPr>
          <w:rFonts w:ascii="Times New Roman" w:hAnsi="Times New Roman"/>
          <w:kern w:val="2"/>
          <w:lang w:val="fr-CA"/>
        </w:rPr>
        <w:tab/>
      </w:r>
    </w:p>
    <w:p w:rsidR="00C278EA" w:rsidRPr="00450D21" w:rsidRDefault="000401F5" w:rsidP="00C278EA">
      <w:pPr>
        <w:spacing w:before="300" w:after="40"/>
        <w:rPr>
          <w:rFonts w:ascii="Arial" w:hAnsi="Arial"/>
          <w:b/>
          <w:lang w:val="fr-CA"/>
        </w:rPr>
      </w:pPr>
      <w:r w:rsidRPr="00C278EA">
        <w:rPr>
          <w:rFonts w:ascii="Arial" w:hAnsi="Arial"/>
          <w:b/>
          <w:bCs/>
          <w:lang w:val="fr-CA"/>
        </w:rPr>
        <w:t>Mesures à prendre pour faire suite à l</w:t>
      </w:r>
      <w:r w:rsidR="00450D21">
        <w:rPr>
          <w:rFonts w:ascii="Arial" w:hAnsi="Arial"/>
          <w:b/>
          <w:bCs/>
          <w:lang w:val="fr-CA"/>
        </w:rPr>
        <w:t>’</w:t>
      </w:r>
      <w:r w:rsidRPr="00C278EA">
        <w:rPr>
          <w:rFonts w:ascii="Arial" w:hAnsi="Arial"/>
          <w:b/>
          <w:bCs/>
          <w:lang w:val="fr-CA"/>
        </w:rPr>
        <w:t>audit du système et responsabilité</w:t>
      </w:r>
    </w:p>
    <w:tbl>
      <w:tblPr>
        <w:tblStyle w:val="CanadianBloodServicesTable1"/>
        <w:tblW w:w="5003" w:type="pct"/>
        <w:tblLook w:val="04A0" w:firstRow="1" w:lastRow="0" w:firstColumn="1" w:lastColumn="0" w:noHBand="0" w:noVBand="1"/>
      </w:tblPr>
      <w:tblGrid>
        <w:gridCol w:w="6669"/>
        <w:gridCol w:w="2707"/>
      </w:tblGrid>
      <w:tr w:rsidR="00D64803" w:rsidTr="007E6F0F">
        <w:tc>
          <w:tcPr>
            <w:tcW w:w="6654" w:type="dxa"/>
            <w:vAlign w:val="center"/>
          </w:tcPr>
          <w:p w:rsidR="00C278EA" w:rsidRPr="00C278EA" w:rsidRDefault="000401F5" w:rsidP="00803874">
            <w:pPr>
              <w:jc w:val="center"/>
              <w:rPr>
                <w:rFonts w:asciiTheme="majorHAnsi" w:hAnsiTheme="majorHAnsi"/>
                <w:b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MESURE À PRENDRE</w:t>
            </w:r>
          </w:p>
        </w:tc>
        <w:tc>
          <w:tcPr>
            <w:tcW w:w="2701" w:type="dxa"/>
            <w:vAlign w:val="center"/>
          </w:tcPr>
          <w:p w:rsidR="00C278EA" w:rsidRPr="00C278EA" w:rsidRDefault="000401F5" w:rsidP="00803874">
            <w:pPr>
              <w:jc w:val="center"/>
              <w:rPr>
                <w:rFonts w:asciiTheme="majorHAnsi" w:hAnsiTheme="majorHAnsi"/>
                <w:b/>
                <w:color w:val="006E5E" w:themeColor="accent1"/>
                <w:kern w:val="2"/>
                <w:sz w:val="19"/>
              </w:rPr>
            </w:pPr>
            <w:r w:rsidRPr="00C278EA">
              <w:rPr>
                <w:b/>
                <w:bCs/>
                <w:color w:val="006E5E" w:themeColor="accent1"/>
                <w:kern w:val="2"/>
                <w:sz w:val="19"/>
                <w:lang w:val="fr-CA"/>
              </w:rPr>
              <w:t>RESPONSABILITÉ</w:t>
            </w:r>
          </w:p>
        </w:tc>
      </w:tr>
      <w:tr w:rsidR="00D64803" w:rsidTr="007E6F0F">
        <w:trPr>
          <w:trHeight w:val="20"/>
        </w:trPr>
        <w:tc>
          <w:tcPr>
            <w:tcW w:w="6654" w:type="dxa"/>
          </w:tcPr>
          <w:p w:rsidR="00C278EA" w:rsidRPr="00C278EA" w:rsidRDefault="001115FC" w:rsidP="00C278EA">
            <w:pPr>
              <w:rPr>
                <w:rFonts w:asciiTheme="minorHAnsi" w:hAnsiTheme="minorHAnsi" w:cs="Arial"/>
                <w:szCs w:val="22"/>
              </w:rPr>
            </w:pPr>
          </w:p>
          <w:p w:rsidR="00C278EA" w:rsidRPr="00C278EA" w:rsidRDefault="001115FC" w:rsidP="00C278EA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701" w:type="dxa"/>
          </w:tcPr>
          <w:p w:rsidR="00C278EA" w:rsidRPr="00C278EA" w:rsidRDefault="001115FC" w:rsidP="00C278EA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D64803" w:rsidTr="007E6F0F">
        <w:trPr>
          <w:trHeight w:val="20"/>
        </w:trPr>
        <w:tc>
          <w:tcPr>
            <w:tcW w:w="6654" w:type="dxa"/>
          </w:tcPr>
          <w:p w:rsidR="00C278EA" w:rsidRPr="00C278EA" w:rsidRDefault="001115FC" w:rsidP="00C278EA">
            <w:pPr>
              <w:rPr>
                <w:rFonts w:asciiTheme="minorHAnsi" w:hAnsiTheme="minorHAnsi" w:cs="Arial"/>
                <w:szCs w:val="22"/>
              </w:rPr>
            </w:pPr>
          </w:p>
          <w:p w:rsidR="00C278EA" w:rsidRPr="00C278EA" w:rsidRDefault="001115FC" w:rsidP="00C278EA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701" w:type="dxa"/>
          </w:tcPr>
          <w:p w:rsidR="00C278EA" w:rsidRPr="00C278EA" w:rsidRDefault="001115FC" w:rsidP="00C278EA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D64803" w:rsidTr="007E6F0F">
        <w:trPr>
          <w:trHeight w:val="20"/>
        </w:trPr>
        <w:tc>
          <w:tcPr>
            <w:tcW w:w="6654" w:type="dxa"/>
          </w:tcPr>
          <w:p w:rsidR="00C278EA" w:rsidRPr="00C278EA" w:rsidRDefault="001115FC" w:rsidP="00C278EA">
            <w:pPr>
              <w:tabs>
                <w:tab w:val="left" w:pos="4224"/>
              </w:tabs>
              <w:rPr>
                <w:rFonts w:asciiTheme="minorHAnsi" w:hAnsiTheme="minorHAnsi" w:cs="Arial"/>
                <w:szCs w:val="22"/>
              </w:rPr>
            </w:pPr>
          </w:p>
          <w:p w:rsidR="00C278EA" w:rsidRPr="00C278EA" w:rsidRDefault="001115FC" w:rsidP="00C278EA">
            <w:pPr>
              <w:tabs>
                <w:tab w:val="left" w:pos="4224"/>
              </w:tabs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701" w:type="dxa"/>
          </w:tcPr>
          <w:p w:rsidR="00C278EA" w:rsidRPr="00C278EA" w:rsidRDefault="001115FC" w:rsidP="00C278EA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D64803" w:rsidTr="007E6F0F">
        <w:trPr>
          <w:trHeight w:val="20"/>
        </w:trPr>
        <w:tc>
          <w:tcPr>
            <w:tcW w:w="6654" w:type="dxa"/>
          </w:tcPr>
          <w:p w:rsidR="00C278EA" w:rsidRPr="00C278EA" w:rsidRDefault="001115FC" w:rsidP="00C278EA">
            <w:pPr>
              <w:rPr>
                <w:rFonts w:asciiTheme="minorHAnsi" w:hAnsiTheme="minorHAnsi" w:cs="Arial"/>
                <w:szCs w:val="22"/>
              </w:rPr>
            </w:pPr>
          </w:p>
          <w:p w:rsidR="00C278EA" w:rsidRPr="00C278EA" w:rsidRDefault="001115FC" w:rsidP="00C278EA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701" w:type="dxa"/>
          </w:tcPr>
          <w:p w:rsidR="00C278EA" w:rsidRPr="00C278EA" w:rsidRDefault="001115FC" w:rsidP="00C278EA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D64803" w:rsidTr="007E6F0F">
        <w:trPr>
          <w:trHeight w:val="20"/>
        </w:trPr>
        <w:tc>
          <w:tcPr>
            <w:tcW w:w="6654" w:type="dxa"/>
          </w:tcPr>
          <w:p w:rsidR="00C278EA" w:rsidRPr="00C278EA" w:rsidRDefault="001115FC" w:rsidP="00C278EA">
            <w:pPr>
              <w:rPr>
                <w:rFonts w:asciiTheme="minorHAnsi" w:hAnsiTheme="minorHAnsi" w:cs="Arial"/>
                <w:szCs w:val="22"/>
              </w:rPr>
            </w:pPr>
          </w:p>
          <w:p w:rsidR="00C278EA" w:rsidRPr="00C278EA" w:rsidRDefault="001115FC" w:rsidP="00C278EA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701" w:type="dxa"/>
          </w:tcPr>
          <w:p w:rsidR="00C278EA" w:rsidRPr="00C278EA" w:rsidRDefault="001115FC" w:rsidP="00C278EA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:rsidR="00C278EA" w:rsidRPr="00DB3EFE" w:rsidRDefault="001115FC" w:rsidP="00C278EA">
      <w:pPr>
        <w:spacing w:after="100" w:line="264" w:lineRule="auto"/>
        <w:rPr>
          <w:rFonts w:ascii="Times New Roman" w:hAnsi="Times New Roman"/>
          <w:kern w:val="2"/>
          <w:sz w:val="16"/>
        </w:rPr>
      </w:pPr>
    </w:p>
    <w:tbl>
      <w:tblPr>
        <w:tblStyle w:val="TableGridLight1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5"/>
        <w:gridCol w:w="2489"/>
        <w:gridCol w:w="1658"/>
      </w:tblGrid>
      <w:tr w:rsidR="00D64803" w:rsidTr="0053787D">
        <w:trPr>
          <w:trHeight w:val="720"/>
        </w:trPr>
        <w:tc>
          <w:tcPr>
            <w:tcW w:w="5306" w:type="dxa"/>
          </w:tcPr>
          <w:p w:rsidR="00C278EA" w:rsidRPr="00C278EA" w:rsidRDefault="000401F5" w:rsidP="00C278EA">
            <w:pPr>
              <w:jc w:val="center"/>
              <w:rPr>
                <w:rFonts w:cs="Arial"/>
                <w:color w:val="A6A6A6" w:themeColor="background1" w:themeShade="A6"/>
              </w:rPr>
            </w:pPr>
            <w:r w:rsidRPr="00C278EA">
              <w:rPr>
                <w:rFonts w:cs="Arial"/>
                <w:color w:val="A6A6A6" w:themeColor="background1" w:themeShade="A6"/>
                <w:lang w:val="fr-CA"/>
              </w:rPr>
              <w:t>FAIT PAR</w:t>
            </w:r>
          </w:p>
        </w:tc>
        <w:tc>
          <w:tcPr>
            <w:tcW w:w="2430" w:type="dxa"/>
          </w:tcPr>
          <w:p w:rsidR="00C278EA" w:rsidRDefault="000401F5" w:rsidP="00C278EA">
            <w:pPr>
              <w:jc w:val="center"/>
              <w:rPr>
                <w:rFonts w:cs="Arial"/>
                <w:color w:val="A6A6A6" w:themeColor="background1" w:themeShade="A6"/>
              </w:rPr>
            </w:pPr>
            <w:r w:rsidRPr="00C278EA">
              <w:rPr>
                <w:rFonts w:cs="Arial"/>
                <w:color w:val="A6A6A6" w:themeColor="background1" w:themeShade="A6"/>
                <w:lang w:val="fr-CA"/>
              </w:rPr>
              <w:t>DATE</w:t>
            </w:r>
          </w:p>
          <w:p w:rsidR="00170F38" w:rsidRPr="00C278EA" w:rsidRDefault="000401F5" w:rsidP="00170F38">
            <w:pPr>
              <w:spacing w:before="100"/>
              <w:jc w:val="center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D9D9D9" w:themeColor="background1" w:themeShade="D9"/>
                <w:lang w:val="fr-CA"/>
              </w:rPr>
              <w:t>AAAA/MM/JJ</w:t>
            </w:r>
          </w:p>
        </w:tc>
        <w:tc>
          <w:tcPr>
            <w:tcW w:w="1619" w:type="dxa"/>
          </w:tcPr>
          <w:p w:rsidR="00C278EA" w:rsidRDefault="000401F5" w:rsidP="00C278EA">
            <w:pPr>
              <w:jc w:val="center"/>
              <w:rPr>
                <w:rFonts w:cs="Arial"/>
                <w:color w:val="A6A6A6" w:themeColor="background1" w:themeShade="A6"/>
              </w:rPr>
            </w:pPr>
            <w:r w:rsidRPr="00C278EA">
              <w:rPr>
                <w:rFonts w:cs="Arial"/>
                <w:color w:val="A6A6A6" w:themeColor="background1" w:themeShade="A6"/>
                <w:lang w:val="fr-CA"/>
              </w:rPr>
              <w:t>HEURE</w:t>
            </w:r>
          </w:p>
          <w:p w:rsidR="00A063E9" w:rsidRPr="00C278EA" w:rsidRDefault="000401F5" w:rsidP="00A063E9">
            <w:pPr>
              <w:spacing w:before="100"/>
              <w:jc w:val="center"/>
              <w:rPr>
                <w:rFonts w:cs="Arial"/>
                <w:color w:val="A6A6A6" w:themeColor="background1" w:themeShade="A6"/>
              </w:rPr>
            </w:pPr>
            <w:r w:rsidRPr="00A063E9">
              <w:rPr>
                <w:rFonts w:cs="Arial"/>
                <w:color w:val="auto"/>
                <w:lang w:val="fr-CA"/>
              </w:rPr>
              <w:t>:</w:t>
            </w:r>
          </w:p>
        </w:tc>
      </w:tr>
    </w:tbl>
    <w:p w:rsidR="00C278EA" w:rsidRPr="00DB3EFE" w:rsidRDefault="001115FC" w:rsidP="00DB3EFE">
      <w:pPr>
        <w:spacing w:after="0" w:line="264" w:lineRule="auto"/>
        <w:rPr>
          <w:rFonts w:ascii="Times New Roman" w:hAnsi="Times New Roman"/>
          <w:kern w:val="2"/>
          <w:sz w:val="2"/>
        </w:rPr>
      </w:pPr>
    </w:p>
    <w:p w:rsidR="00C278EA" w:rsidRPr="00C278EA" w:rsidRDefault="000401F5" w:rsidP="00C278EA">
      <w:pPr>
        <w:spacing w:before="100" w:after="240" w:line="264" w:lineRule="auto"/>
        <w:rPr>
          <w:rFonts w:ascii="Times New Roman" w:hAnsi="Times New Roman"/>
          <w:kern w:val="2"/>
        </w:rPr>
      </w:pPr>
      <w:r w:rsidRPr="00C278EA">
        <w:rPr>
          <w:rFonts w:ascii="Times New Roman" w:hAnsi="Times New Roman"/>
          <w:kern w:val="2"/>
          <w:lang w:val="fr-CA"/>
        </w:rPr>
        <w:t>-------------------------------------------------------------------------------------------------------------------------------</w:t>
      </w:r>
    </w:p>
    <w:p w:rsidR="00C278EA" w:rsidRPr="00450D21" w:rsidRDefault="000401F5" w:rsidP="00C278EA">
      <w:pPr>
        <w:spacing w:before="100" w:after="240" w:line="264" w:lineRule="auto"/>
        <w:rPr>
          <w:rFonts w:ascii="Times New Roman" w:hAnsi="Times New Roman"/>
          <w:kern w:val="2"/>
          <w:lang w:val="fr-CA"/>
        </w:rPr>
      </w:pPr>
      <w:r w:rsidRPr="00C278EA">
        <w:rPr>
          <w:rFonts w:ascii="Times New Roman" w:hAnsi="Times New Roman"/>
          <w:kern w:val="2"/>
          <w:lang w:val="fr-CA"/>
        </w:rPr>
        <w:t>L</w:t>
      </w:r>
      <w:r w:rsidR="00450D21">
        <w:rPr>
          <w:rFonts w:ascii="Times New Roman" w:hAnsi="Times New Roman"/>
          <w:kern w:val="2"/>
          <w:lang w:val="fr-CA"/>
        </w:rPr>
        <w:t>’</w:t>
      </w:r>
      <w:r w:rsidRPr="00C278EA">
        <w:rPr>
          <w:rFonts w:ascii="Times New Roman" w:hAnsi="Times New Roman"/>
          <w:kern w:val="2"/>
          <w:lang w:val="fr-CA"/>
        </w:rPr>
        <w:t>outil d</w:t>
      </w:r>
      <w:r w:rsidR="00450D21">
        <w:rPr>
          <w:rFonts w:ascii="Times New Roman" w:hAnsi="Times New Roman"/>
          <w:kern w:val="2"/>
          <w:lang w:val="fr-CA"/>
        </w:rPr>
        <w:t>’</w:t>
      </w:r>
      <w:r w:rsidRPr="00C278EA">
        <w:rPr>
          <w:rFonts w:ascii="Times New Roman" w:hAnsi="Times New Roman"/>
          <w:kern w:val="2"/>
          <w:lang w:val="fr-CA"/>
        </w:rPr>
        <w:t xml:space="preserve">audit </w:t>
      </w:r>
      <w:r w:rsidR="008E602B">
        <w:rPr>
          <w:rFonts w:ascii="Times New Roman" w:hAnsi="Times New Roman"/>
          <w:kern w:val="2"/>
          <w:lang w:val="fr-CA"/>
        </w:rPr>
        <w:t xml:space="preserve">du </w:t>
      </w:r>
      <w:r w:rsidRPr="00C278EA">
        <w:rPr>
          <w:rFonts w:ascii="Times New Roman" w:hAnsi="Times New Roman"/>
          <w:kern w:val="2"/>
          <w:lang w:val="fr-CA"/>
        </w:rPr>
        <w:t>système a facilité la discussion</w:t>
      </w:r>
      <w:r w:rsidR="00450D21">
        <w:rPr>
          <w:rFonts w:ascii="Times New Roman" w:hAnsi="Times New Roman"/>
          <w:kern w:val="2"/>
          <w:lang w:val="fr-CA"/>
        </w:rPr>
        <w:t> </w:t>
      </w:r>
      <w:r w:rsidRPr="00C278EA">
        <w:rPr>
          <w:rFonts w:ascii="Times New Roman" w:hAnsi="Times New Roman"/>
          <w:kern w:val="2"/>
          <w:lang w:val="fr-CA"/>
        </w:rPr>
        <w:t xml:space="preserve">: </w:t>
      </w:r>
      <w:r w:rsidRPr="00C278EA">
        <w:rPr>
          <w:rFonts w:ascii="Webdings" w:hAnsi="Webdings"/>
          <w:kern w:val="2"/>
          <w:lang w:val="fr-CA"/>
        </w:rPr>
        <w:t></w:t>
      </w:r>
      <w:r w:rsidRPr="00C278EA">
        <w:rPr>
          <w:rFonts w:ascii="Times New Roman" w:hAnsi="Times New Roman"/>
          <w:kern w:val="2"/>
          <w:lang w:val="fr-CA"/>
        </w:rPr>
        <w:t xml:space="preserve"> Oui</w:t>
      </w:r>
      <w:r w:rsidRPr="00C278EA">
        <w:rPr>
          <w:rFonts w:ascii="Times New Roman" w:hAnsi="Times New Roman"/>
          <w:kern w:val="2"/>
          <w:lang w:val="fr-CA"/>
        </w:rPr>
        <w:tab/>
      </w:r>
      <w:r w:rsidRPr="00C278EA">
        <w:rPr>
          <w:rFonts w:ascii="Times New Roman" w:hAnsi="Times New Roman"/>
          <w:kern w:val="2"/>
          <w:lang w:val="fr-CA"/>
        </w:rPr>
        <w:tab/>
      </w:r>
      <w:r w:rsidRPr="00C278EA">
        <w:rPr>
          <w:rFonts w:ascii="Times New Roman" w:hAnsi="Times New Roman"/>
          <w:kern w:val="2"/>
          <w:lang w:val="fr-CA"/>
        </w:rPr>
        <w:tab/>
      </w:r>
      <w:r w:rsidRPr="00C278EA">
        <w:rPr>
          <w:rFonts w:ascii="Times New Roman" w:hAnsi="Times New Roman"/>
          <w:kern w:val="2"/>
          <w:lang w:val="fr-CA"/>
        </w:rPr>
        <w:tab/>
        <w:t xml:space="preserve"> </w:t>
      </w:r>
      <w:r w:rsidRPr="00C278EA">
        <w:rPr>
          <w:rFonts w:ascii="Webdings" w:hAnsi="Webdings"/>
          <w:kern w:val="2"/>
          <w:lang w:val="fr-CA"/>
        </w:rPr>
        <w:t></w:t>
      </w:r>
      <w:r w:rsidRPr="00C278EA">
        <w:rPr>
          <w:rFonts w:ascii="Times New Roman" w:hAnsi="Times New Roman"/>
          <w:kern w:val="2"/>
          <w:lang w:val="fr-CA"/>
        </w:rPr>
        <w:t xml:space="preserve"> Non</w:t>
      </w:r>
    </w:p>
    <w:p w:rsidR="00C278EA" w:rsidRPr="00450D21" w:rsidRDefault="000401F5" w:rsidP="00C278EA">
      <w:pPr>
        <w:spacing w:before="100" w:after="240" w:line="264" w:lineRule="auto"/>
        <w:rPr>
          <w:rFonts w:ascii="Times New Roman" w:hAnsi="Times New Roman"/>
          <w:kern w:val="2"/>
          <w:lang w:val="fr-CA"/>
        </w:rPr>
      </w:pPr>
      <w:r w:rsidRPr="00C278EA">
        <w:rPr>
          <w:rFonts w:ascii="Times New Roman" w:hAnsi="Times New Roman"/>
          <w:kern w:val="2"/>
          <w:lang w:val="fr-CA"/>
        </w:rPr>
        <w:t>L</w:t>
      </w:r>
      <w:r w:rsidR="00450D21">
        <w:rPr>
          <w:rFonts w:ascii="Times New Roman" w:hAnsi="Times New Roman"/>
          <w:kern w:val="2"/>
          <w:lang w:val="fr-CA"/>
        </w:rPr>
        <w:t>’</w:t>
      </w:r>
      <w:r w:rsidRPr="00C278EA">
        <w:rPr>
          <w:rFonts w:ascii="Times New Roman" w:hAnsi="Times New Roman"/>
          <w:kern w:val="2"/>
          <w:lang w:val="fr-CA"/>
        </w:rPr>
        <w:t>outil doit être revu</w:t>
      </w:r>
      <w:r w:rsidR="00450D21">
        <w:rPr>
          <w:rFonts w:ascii="Times New Roman" w:hAnsi="Times New Roman"/>
          <w:kern w:val="2"/>
          <w:lang w:val="fr-CA"/>
        </w:rPr>
        <w:t> </w:t>
      </w:r>
      <w:r w:rsidRPr="00C278EA">
        <w:rPr>
          <w:rFonts w:ascii="Times New Roman" w:hAnsi="Times New Roman"/>
          <w:kern w:val="2"/>
          <w:lang w:val="fr-CA"/>
        </w:rPr>
        <w:t xml:space="preserve">: </w:t>
      </w:r>
      <w:r w:rsidRPr="00C278EA">
        <w:rPr>
          <w:rFonts w:ascii="Webdings" w:hAnsi="Webdings"/>
          <w:kern w:val="2"/>
          <w:lang w:val="fr-CA"/>
        </w:rPr>
        <w:t></w:t>
      </w:r>
      <w:r w:rsidRPr="00C278EA">
        <w:rPr>
          <w:rFonts w:ascii="Times New Roman" w:hAnsi="Times New Roman"/>
          <w:kern w:val="2"/>
          <w:lang w:val="fr-CA"/>
        </w:rPr>
        <w:t xml:space="preserve"> Non</w:t>
      </w:r>
      <w:r w:rsidRPr="00C278EA">
        <w:rPr>
          <w:rFonts w:ascii="Times New Roman" w:hAnsi="Times New Roman"/>
          <w:kern w:val="2"/>
          <w:lang w:val="fr-CA"/>
        </w:rPr>
        <w:tab/>
      </w:r>
      <w:r w:rsidRPr="00C278EA">
        <w:rPr>
          <w:rFonts w:ascii="Times New Roman" w:hAnsi="Times New Roman"/>
          <w:kern w:val="2"/>
          <w:lang w:val="fr-CA"/>
        </w:rPr>
        <w:tab/>
      </w:r>
      <w:r w:rsidRPr="00C278EA">
        <w:rPr>
          <w:rFonts w:ascii="Times New Roman" w:hAnsi="Times New Roman"/>
          <w:kern w:val="2"/>
          <w:lang w:val="fr-CA"/>
        </w:rPr>
        <w:tab/>
        <w:t xml:space="preserve"> </w:t>
      </w:r>
      <w:r w:rsidRPr="00C278EA">
        <w:rPr>
          <w:rFonts w:ascii="Webdings" w:hAnsi="Webdings"/>
          <w:kern w:val="2"/>
          <w:lang w:val="fr-CA"/>
        </w:rPr>
        <w:t></w:t>
      </w:r>
      <w:r w:rsidRPr="00C278EA">
        <w:rPr>
          <w:rFonts w:ascii="Times New Roman" w:hAnsi="Times New Roman"/>
          <w:kern w:val="2"/>
          <w:lang w:val="fr-CA"/>
        </w:rPr>
        <w:t xml:space="preserve"> Oui – Commentaires fournis à __________________________</w:t>
      </w:r>
    </w:p>
    <w:p w:rsidR="00204EE9" w:rsidRPr="00204EE9" w:rsidRDefault="000401F5" w:rsidP="00DB3EFE">
      <w:pPr>
        <w:spacing w:before="100" w:after="240" w:line="264" w:lineRule="auto"/>
        <w:rPr>
          <w:color w:val="000000"/>
          <w:sz w:val="24"/>
          <w:szCs w:val="24"/>
          <w:lang w:val="fr-CA"/>
        </w:rPr>
      </w:pPr>
      <w:r w:rsidRPr="00C278EA">
        <w:rPr>
          <w:rFonts w:ascii="Times New Roman" w:hAnsi="Times New Roman"/>
          <w:kern w:val="2"/>
          <w:lang w:val="fr-CA"/>
        </w:rPr>
        <w:t>Un nouvel audit du système sera mené dans l</w:t>
      </w:r>
      <w:r w:rsidR="00450D21">
        <w:rPr>
          <w:rFonts w:ascii="Times New Roman" w:hAnsi="Times New Roman"/>
          <w:kern w:val="2"/>
          <w:lang w:val="fr-CA"/>
        </w:rPr>
        <w:t>’</w:t>
      </w:r>
      <w:r w:rsidRPr="00C278EA">
        <w:rPr>
          <w:rFonts w:ascii="Times New Roman" w:hAnsi="Times New Roman"/>
          <w:kern w:val="2"/>
          <w:lang w:val="fr-CA"/>
        </w:rPr>
        <w:t>unité dans _____ mois (suggestion</w:t>
      </w:r>
      <w:r w:rsidR="00450D21">
        <w:rPr>
          <w:rFonts w:ascii="Times New Roman" w:hAnsi="Times New Roman"/>
          <w:kern w:val="2"/>
          <w:lang w:val="fr-CA"/>
        </w:rPr>
        <w:t> </w:t>
      </w:r>
      <w:r w:rsidRPr="00C278EA">
        <w:rPr>
          <w:rFonts w:ascii="Times New Roman" w:hAnsi="Times New Roman"/>
          <w:kern w:val="2"/>
          <w:lang w:val="fr-CA"/>
        </w:rPr>
        <w:t>: 12)</w:t>
      </w:r>
    </w:p>
    <w:sectPr w:rsidR="00204EE9" w:rsidRPr="00204EE9" w:rsidSect="00A063E9">
      <w:headerReference w:type="even" r:id="rId10"/>
      <w:footerReference w:type="even" r:id="rId11"/>
      <w:footerReference w:type="default" r:id="rId12"/>
      <w:pgSz w:w="12240" w:h="15840"/>
      <w:pgMar w:top="1440" w:right="1440" w:bottom="108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5FC" w:rsidRDefault="001115FC">
      <w:pPr>
        <w:spacing w:after="0"/>
      </w:pPr>
      <w:r>
        <w:separator/>
      </w:r>
    </w:p>
  </w:endnote>
  <w:endnote w:type="continuationSeparator" w:id="0">
    <w:p w:rsidR="001115FC" w:rsidRDefault="001115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7816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59C" w:rsidRDefault="000401F5" w:rsidP="00DD259C">
        <w:pPr>
          <w:pStyle w:val="Footer"/>
          <w:jc w:val="left"/>
        </w:pPr>
        <w:r w:rsidRPr="008B5930">
          <w:fldChar w:fldCharType="begin"/>
        </w:r>
        <w:r w:rsidRPr="008B5930">
          <w:instrText xml:space="preserve"> PAGE   \* MERGEFORMAT </w:instrText>
        </w:r>
        <w:r w:rsidRPr="008B5930">
          <w:fldChar w:fldCharType="separate"/>
        </w:r>
        <w:r>
          <w:rPr>
            <w:noProof/>
          </w:rPr>
          <w:t>2</w:t>
        </w:r>
        <w:r w:rsidRPr="008B5930">
          <w:rPr>
            <w:noProof/>
          </w:rPr>
          <w:fldChar w:fldCharType="end"/>
        </w:r>
      </w:p>
    </w:sdtContent>
  </w:sdt>
  <w:p w:rsidR="00DD259C" w:rsidRPr="00DD259C" w:rsidRDefault="001115FC" w:rsidP="00DD259C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996" w:rsidRPr="00450D21" w:rsidRDefault="001115FC" w:rsidP="00803874">
    <w:pPr>
      <w:pStyle w:val="Footer"/>
      <w:jc w:val="left"/>
      <w:rPr>
        <w:lang w:val="fr-CA"/>
      </w:rPr>
    </w:pPr>
    <w:sdt>
      <w:sdtPr>
        <w:id w:val="12293718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401F5">
          <w:rPr>
            <w:lang w:val="fr-CA"/>
          </w:rPr>
          <w:t>Arrêt des TMFV – Audit du système</w:t>
        </w:r>
        <w:r w:rsidR="000401F5">
          <w:rPr>
            <w:lang w:val="fr-CA"/>
          </w:rPr>
          <w:tab/>
        </w:r>
        <w:r w:rsidR="000401F5">
          <w:rPr>
            <w:lang w:val="fr-CA"/>
          </w:rPr>
          <w:tab/>
          <w:t xml:space="preserve">Page </w:t>
        </w:r>
        <w:r w:rsidR="000401F5" w:rsidRPr="008B5930">
          <w:fldChar w:fldCharType="begin"/>
        </w:r>
        <w:r w:rsidR="000401F5" w:rsidRPr="00450D21">
          <w:rPr>
            <w:lang w:val="fr-CA"/>
          </w:rPr>
          <w:instrText xml:space="preserve"> PAGE   \* MERGEFORMAT </w:instrText>
        </w:r>
        <w:r w:rsidR="000401F5" w:rsidRPr="008B5930">
          <w:fldChar w:fldCharType="separate"/>
        </w:r>
        <w:r w:rsidR="00DB3EFE">
          <w:rPr>
            <w:noProof/>
            <w:lang w:val="fr-CA"/>
          </w:rPr>
          <w:t>2</w:t>
        </w:r>
        <w:r w:rsidR="000401F5" w:rsidRPr="008B5930">
          <w:rPr>
            <w:noProof/>
          </w:rPr>
          <w:fldChar w:fldCharType="end"/>
        </w:r>
      </w:sdtContent>
    </w:sdt>
    <w:r w:rsidR="000401F5">
      <w:rPr>
        <w:lang w:val="fr-CA"/>
      </w:rPr>
      <w:t xml:space="preserve"> de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5FC" w:rsidRDefault="001115FC">
      <w:pPr>
        <w:spacing w:after="0"/>
      </w:pPr>
      <w:r>
        <w:separator/>
      </w:r>
    </w:p>
  </w:footnote>
  <w:footnote w:type="continuationSeparator" w:id="0">
    <w:p w:rsidR="001115FC" w:rsidRDefault="001115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D55" w:rsidRDefault="000401F5">
    <w:pPr>
      <w:pStyle w:val="Header"/>
    </w:pPr>
    <w:r w:rsidRPr="00350D4A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margin">
                <wp:posOffset>4572000</wp:posOffset>
              </wp:positionH>
              <wp:positionV relativeFrom="margin">
                <wp:posOffset>-743585</wp:posOffset>
              </wp:positionV>
              <wp:extent cx="1371600" cy="685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259C" w:rsidRPr="00450D21" w:rsidRDefault="000401F5" w:rsidP="00DD259C">
                          <w:pPr>
                            <w:pStyle w:val="HeaderSubtitle"/>
                            <w:rPr>
                              <w:lang w:val="fr-CA"/>
                            </w:rPr>
                          </w:pPr>
                          <w:r>
                            <w:fldChar w:fldCharType="begin"/>
                          </w:r>
                          <w:r w:rsidRPr="00450D21">
                            <w:rPr>
                              <w:lang w:val="fr-CA"/>
                            </w:rPr>
                            <w:instrText xml:space="preserve"> STYLEREF  "Heading 5,Heading"  \* MERGEFORMAT </w:instrText>
                          </w:r>
                          <w:r>
                            <w:fldChar w:fldCharType="separate"/>
                          </w:r>
                          <w:r w:rsidR="00450D21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Erreur ! Utilisez l'onglet Accueil pour appliquer Heading 5,Heading au texte que vous souhaitez faire apparaître ici.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sdt>
                          <w:sdtPr>
                            <w:alias w:val="Date"/>
                            <w:tag w:val="date"/>
                            <w:id w:val="-1900970752"/>
                            <w:showingPlcHdr/>
                            <w:dataBinding w:xpath="/root[1]/date[1]" w:storeItemID="{09D0E007-C015-427C-802D-40E436332411}"/>
                            <w:text/>
                          </w:sdtPr>
                          <w:sdtEndPr/>
                          <w:sdtContent>
                            <w:p w:rsidR="00DD259C" w:rsidRPr="00450D21" w:rsidRDefault="000401F5" w:rsidP="000E0198">
                              <w:pPr>
                                <w:pStyle w:val="HeaderSubtitle"/>
                                <w:rPr>
                                  <w:lang w:val="fr-CA"/>
                                </w:rPr>
                              </w:pPr>
                              <w:r w:rsidRPr="00321469">
                                <w:rPr>
                                  <w:rStyle w:val="PlaceholderText"/>
                                  <w:lang w:val="fr-CA"/>
                                </w:rPr>
                                <w:t>Cliquez ici pour entrer la date.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in;margin-top:-58.55pt;width:108pt;height:5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reVAIAABIFAAAOAAAAZHJzL2Uyb0RvYy54bWysVE1P3DAQvVfqf7B8L9kFLUUrsoiC6AUB&#10;6lJxNo7NRrU9rm022f76PjvJ0tJeqHpxJvPxPPNmxqdnvTVsq0JsydV8fjDjTDlJTeueav71/urD&#10;CWcxCdcIQ07VfKciP1u9f3fa+aU6pA2ZRgUGEBeXna/5JiW/rKooN8qKeEBeORg1BSsSfsNT1QTR&#10;Ad2a6nA2O646Co0PJFWM0F4ORr4q+FormW61jioxU3PklsoZyvmYz2p1KpZPQfhNK8c0xD9kYUXr&#10;cOke6lIkwZ5D+weUbWWgSDodSLIVad1KVWpANfPZq2rWG+FVqQXkRL+nKf4/WHmzvQusbWq+4MwJ&#10;ixbdqz6xT9SzRWan83EJp7WHW+qhRpcnfYQyF93rYPMX5TDYwfNuz20Gkzno6OP8eAaThO34ZHEC&#10;GfDVS7QPMX1WZFkWah7Qu0Kp2F7HNLhOLvkyR1etMaV/xrEOoEeLWQnYWwBuHO7INQy5FintjMoI&#10;xn1RGrWXlLOiTJ26MIFtBeZFSKlcKtUWJHhnL41r3xI4+udQVSbyLcH7iHIzubQPtq2jUOp9lXbz&#10;bUpZD/4TA0PdmYLUP/Zjbx+p2aG1gYbViF5eteD/WsR0JwJ2AS3DfqdbHNoQeKZR4mxD4cff9Nkf&#10;IworZx12q+bx+7MIChP2bC8I1M7xKnhZROCHZCZRB7IPWOnzjACTcBI4NU+TeJGG7cWTINX5eXHC&#10;KnmRrt3aywydqcqTct8/iODHcUoYxBuaNkosX03V4DsyNXAy/mDxIP222b/+F6+Xp2z1EwAA//8D&#10;AFBLAwQUAAYACAAAACEAbrkRKOEAAAALAQAADwAAAGRycy9kb3ducmV2LnhtbEyPTU/DMAyG70j8&#10;h8hI3LY0Q+yjNJ2mShMSgsPGLtzcxmsrmqQ02Vb49ZjTOPr1q8ePs/VoO3GmIbTeaVDTBAS5ypvW&#10;1RoO79vJEkSI6Ax23pGGbwqwzm9vMkyNv7gdnfexFgxxIUUNTYx9KmWoGrIYpr4nx7ujHyxGHoda&#10;mgEvDLednCXJXFpsHV9osKeioepzf7IaXortG+7KmV3+dMXz63HTfx0+HrW+vxs3TyAijfFahj99&#10;VoecnUp/ciaITsOC8VzVMFFqoUBwZfUw56jkaKVA5pn8/0P+CwAA//8DAFBLAQItABQABgAIAAAA&#10;IQC2gziS/gAAAOEBAAATAAAAAAAAAAAAAAAAAAAAAABbQ29udGVudF9UeXBlc10ueG1sUEsBAi0A&#10;FAAGAAgAAAAhADj9If/WAAAAlAEAAAsAAAAAAAAAAAAAAAAALwEAAF9yZWxzLy5yZWxzUEsBAi0A&#10;FAAGAAgAAAAhAKUIet5UAgAAEgUAAA4AAAAAAAAAAAAAAAAALgIAAGRycy9lMm9Eb2MueG1sUEsB&#10;Ai0AFAAGAAgAAAAhAG65ESjhAAAACwEAAA8AAAAAAAAAAAAAAAAArgQAAGRycy9kb3ducmV2Lnht&#10;bFBLBQYAAAAABAAEAPMAAAC8BQAAAAA=&#10;" filled="f" stroked="f" strokeweight=".5pt">
              <v:textbox>
                <w:txbxContent>
                  <w:p w:rsidR="00DD259C" w:rsidRPr="00450D21" w:rsidRDefault="000401F5" w:rsidP="00DD259C">
                    <w:pPr>
                      <w:pStyle w:val="HeaderSubtitle"/>
                      <w:rPr>
                        <w:lang w:val="fr-CA"/>
                      </w:rPr>
                    </w:pPr>
                    <w:r>
                      <w:fldChar w:fldCharType="begin"/>
                    </w:r>
                    <w:r w:rsidRPr="00450D21">
                      <w:rPr>
                        <w:lang w:val="fr-CA"/>
                      </w:rPr>
                      <w:instrText xml:space="preserve"> STYLEREF  "Heading 5,Heading"  \* MERGEFORMAT </w:instrText>
                    </w:r>
                    <w:r>
                      <w:fldChar w:fldCharType="separate"/>
                    </w:r>
                    <w:r w:rsidR="00450D21">
                      <w:rPr>
                        <w:b/>
                        <w:bCs/>
                        <w:noProof/>
                        <w:lang w:val="fr-FR"/>
                      </w:rPr>
                      <w:t>Erreur ! Utilisez l'onglet Accueil pour appliquer Heading 5,Heading au texte que vous souhaitez faire apparaître ici.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sdt>
                    <w:sdtPr>
                      <w:alias w:val="Date"/>
                      <w:tag w:val="date"/>
                      <w:id w:val="-1900970752"/>
                      <w:showingPlcHdr/>
                      <w:dataBinding w:xpath="/root[1]/date[1]" w:storeItemID="{09D0E007-C015-427C-802D-40E436332411}"/>
                      <w:text/>
                    </w:sdtPr>
                    <w:sdtEndPr/>
                    <w:sdtContent>
                      <w:p w:rsidR="00DD259C" w:rsidRPr="00450D21" w:rsidRDefault="000401F5" w:rsidP="000E0198">
                        <w:pPr>
                          <w:pStyle w:val="HeaderSubtitle"/>
                          <w:rPr>
                            <w:lang w:val="fr-CA"/>
                          </w:rPr>
                        </w:pPr>
                        <w:r w:rsidRPr="00321469">
                          <w:rPr>
                            <w:rStyle w:val="PlaceholderText"/>
                            <w:lang w:val="fr-CA"/>
                          </w:rPr>
                          <w:t>Cliquez ici pour entrer la date.</w:t>
                        </w:r>
                      </w:p>
                    </w:sdtContent>
                  </w:sdt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350D4A">
      <w:rPr>
        <w:noProof/>
        <w:lang w:val="fr-CA" w:eastAsia="fr-C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448310</wp:posOffset>
          </wp:positionV>
          <wp:extent cx="1371600" cy="621792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227-0-0-3200_EMF-CanadianBloodServicesEnglishLogoFinalColour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posOffset>4572000</wp:posOffset>
              </wp:positionH>
              <wp:positionV relativeFrom="margin">
                <wp:posOffset>-1527175</wp:posOffset>
              </wp:positionV>
              <wp:extent cx="1600200" cy="704088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7040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en-CA"/>
                            </w:rPr>
                            <w:alias w:val="Type of Communication"/>
                            <w:tag w:val="TypeOfCommunicaton"/>
                            <w:id w:val="180489931"/>
                            <w:dataBinding w:xpath="/root[1]/TypeOfCommunication[1]" w:storeItemID="{FAF6F93B-815F-4A11-8481-85443E323D4B}"/>
                            <w:text/>
                          </w:sdtPr>
                          <w:sdtEndPr/>
                          <w:sdtContent>
                            <w:p w:rsidR="00DD259C" w:rsidRDefault="00450D21" w:rsidP="00DD259C">
                              <w:pPr>
                                <w:pStyle w:val="Header"/>
                              </w:pPr>
                              <w:r>
                                <w:rPr>
                                  <w:lang w:val="fr-CA"/>
                                </w:rPr>
                                <w:t>Type of Communication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7" type="#_x0000_t202" style="position:absolute;margin-left:5in;margin-top:-120.25pt;width:126pt;height:55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GVVgIAABkFAAAOAAAAZHJzL2Uyb0RvYy54bWysVE1P3DAQvVfqf7B8Lwm0pauILKIgekGA&#10;gIqzcWw2qu1xbbPJ9tf32ckuLe2FqhdnPB/PM29mcnQ8WsPWKsSeXMv392rOlJPU9e6x5V/vzt8t&#10;OItJuE4YcqrlGxX58fLtm6PBN+qAVmQ6FRhAXGwG3/JVSr6pqihXyoq4R145GDUFKxKu4bHqghiA&#10;bk11UNeH1UCh84GkihHas8nIlwVfayXTldZRJWZajtxSOUM5H/JZLY9E8xiEX/VyTkP8QxZW9A6P&#10;7qDORBLsKfR/QNleBoqk054kW5HWvVSlBlSzX7+o5nYlvCq1gJzodzTF/wcrL9fXgfUdeseZExYt&#10;ulNjYp9pZPuZncHHBk63Hm5phDp7zvoIZS561MHmL8phsIPnzY7bDCZz0GFdo2GcSdg+1R/qxSLD&#10;VM/RPsT0RZFlWWh5QO8KpWJ9EdPkunXJjzk6742BXjTGsaHlh+8/1iVgZwG4cXgj1zDlWqS0MWoK&#10;u1EatZeUs6JMnTo1ga0F5kVIqVwq1RYkeGcvjWdfEzj751BVJvI1wbuI8jK5tAu2vaNQ6n2Rdvdt&#10;m7Ke/LcMTHVnCtL4MM5Nn1v5QN0GHQ40bUj08rxHGy5ETNciYCXQOax5usKhDYFumiXOVhR+/E2f&#10;/TGpsHI2YMVaHr8/iaAwaE/2lMAwZg4vFRH4IZmtqAPZe2z2SUaASTgJnJanrXiapiXGn0Gqk5Pi&#10;hI3yIl24Wy8zdGYsD8zdeC+Cn6cqYR4vabtYonkxXJPvTNjEyXzB/kH6bcF/vRev5z/a8icAAAD/&#10;/wMAUEsDBBQABgAIAAAAIQBj6OHK4gAAAA0BAAAPAAAAZHJzL2Rvd25yZXYueG1sTI/BTsMwDIbv&#10;SLxDZCRuW7qKja00naZKExKCw8Yu3NwmaysSpzTZVnh6zGkc/fvX58/5enRWnM0QOk8KZtMEhKHa&#10;644aBYf37WQJIkQkjdaTUfBtAqyL25scM+0vtDPnfWwEQyhkqKCNsc+kDHVrHIap7w3x7ugHh5HH&#10;oZF6wAvDnZVpkiykw474Qou9KVtTf+5PTsFLuX3DXZW65Y8tn1+Pm/7r8DFX6v5u3DyBiGaM1zL8&#10;6bM6FOxU+RPpIKyCR8ZzVcEkfUjmILiy4gxExdEsXS1AFrn8/0XxCwAA//8DAFBLAQItABQABgAI&#10;AAAAIQC2gziS/gAAAOEBAAATAAAAAAAAAAAAAAAAAAAAAABbQ29udGVudF9UeXBlc10ueG1sUEsB&#10;Ai0AFAAGAAgAAAAhADj9If/WAAAAlAEAAAsAAAAAAAAAAAAAAAAALwEAAF9yZWxzLy5yZWxzUEsB&#10;Ai0AFAAGAAgAAAAhABT8MZVWAgAAGQUAAA4AAAAAAAAAAAAAAAAALgIAAGRycy9lMm9Eb2MueG1s&#10;UEsBAi0AFAAGAAgAAAAhAGPo4criAAAADQEAAA8AAAAAAAAAAAAAAAAAsAQAAGRycy9kb3ducmV2&#10;LnhtbFBLBQYAAAAABAAEAPMAAAC/BQAAAAA=&#10;" filled="f" stroked="f" strokeweight=".5pt">
              <v:textbox>
                <w:txbxContent>
                  <w:sdt>
                    <w:sdtPr>
                      <w:rPr>
                        <w:lang w:val="en-CA"/>
                      </w:rPr>
                      <w:alias w:val="Type of Communication"/>
                      <w:tag w:val="TypeOfCommunicaton"/>
                      <w:id w:val="180489931"/>
                      <w:dataBinding w:xpath="/root[1]/TypeOfCommunication[1]" w:storeItemID="{FAF6F93B-815F-4A11-8481-85443E323D4B}"/>
                      <w:text/>
                    </w:sdtPr>
                    <w:sdtEndPr/>
                    <w:sdtContent>
                      <w:p w:rsidR="00DD259C" w:rsidRDefault="00450D21" w:rsidP="00DD259C">
                        <w:pPr>
                          <w:pStyle w:val="Header"/>
                        </w:pPr>
                        <w:r>
                          <w:rPr>
                            <w:lang w:val="fr-CA"/>
                          </w:rPr>
                          <w:t>Type of Communication</w:t>
                        </w:r>
                      </w:p>
                    </w:sdtContent>
                  </w:sdt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350D4A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posOffset>4663440</wp:posOffset>
              </wp:positionH>
              <wp:positionV relativeFrom="page">
                <wp:posOffset>0</wp:posOffset>
              </wp:positionV>
              <wp:extent cx="1280160" cy="201168"/>
              <wp:effectExtent l="0" t="0" r="0" b="889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201168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4B88374B" id="Rectangle 15" o:spid="_x0000_s1026" style="position:absolute;margin-left:367.2pt;margin-top:0;width:100.8pt;height:15.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EGbgIAAEgFAAAOAAAAZHJzL2Uyb0RvYy54bWysVE1P3DAQvVfqf7B8L0lWAqEVWYRA9IIA&#10;QSvOxrE3kWyPOzab3f76ju0kUIp6qJqD44/nN543H2fne2vYTmEYwLW8Oao5U05CN7hty79/u/5y&#10;ylmIwnXCgFMtP6jAzzefP52Nfq1W0IPpFDIicWE9+pb3Mfp1VQXZKyvCEXjl6FADWhFpiduqQzES&#10;uzXVqq5PqhGw8whShUC7V+WQbzK/1krGO62Disy0nN4W84h5fE5jtTkT6y0K3w9yeob4h1dYMTgy&#10;ulBdiSjYCw5/UNlBIgTQ8UiCrUDrQarsA3nT1O+8eeyFV9kXEif4Rabw/2jl7e4e2dBR7I45c8JS&#10;jB5INeG2RjHaI4FGH9aEe/T3OK0CTZO3e402/ckPts+iHhZR1T4ySZvN6rRuTkh7SWfkZHNymkir&#10;19seQ/yqwLI0aTmS+ayl2N2EWKAzJBkLYIbuejAmL1KiqEuDbCcoxEJK5eJqMvAb0riEd5BuFtK0&#10;UyXnijt5Fg9GJZxxD0qTLuTAKj8mZ+R7Q0056kWniv3jmr7Z+vy07GwmTMya7C/cE8GMfOtEM9FM&#10;+HRV5YReLtd/e1hxcbmRLYOLy2U7OMCPCExcLBf8LFKRJqn0DN2BsgahlFPw8nqg0N2IEO8FUv1Q&#10;tKknxDsatIGx5TDNOOsBf360n/CU1nTK2Uj12PLw40WgoqR8sZdAsW2ok3iZp8SP0cxTjWCfqA1c&#10;JAY6Ek4ST8tlxHlxGUvNUyOR6uIiw6gAvYg37tHLRJ4USmn2bf8k0E+5GCmLb2GuQ7F+l5IFOwlU&#10;VJkWVK457FNrSf3g7TqjXhvg5hcAAAD//wMAUEsDBBQABgAIAAAAIQDMCP4p2wAAAAcBAAAPAAAA&#10;ZHJzL2Rvd25yZXYueG1sTI/BTsMwEETvSPyDtUjcqNOmpG3IpgJEL4gLhQ9w4iUJxOsodtPw9ywn&#10;uM1qRjNvi/3sejXRGDrPCMtFAoq49rbjBuH97XCzBRWiYWt6z4TwTQH25eVFYXLrz/xK0zE2Sko4&#10;5AahjXHItQ51S86EhR+IxfvwozNRzrHRdjRnKXe9XiVJpp3pWBZaM9BjS/XX8eQQnpy/ffncTe6w&#10;6iqvsy3Hh2dGvL6a7+9ARZrjXxh+8QUdSmGq/IltUD3CJl2vJYogH4m9SzMRFUK63IAuC/2fv/wB&#10;AAD//wMAUEsBAi0AFAAGAAgAAAAhALaDOJL+AAAA4QEAABMAAAAAAAAAAAAAAAAAAAAAAFtDb250&#10;ZW50X1R5cGVzXS54bWxQSwECLQAUAAYACAAAACEAOP0h/9YAAACUAQAACwAAAAAAAAAAAAAAAAAv&#10;AQAAX3JlbHMvLnJlbHNQSwECLQAUAAYACAAAACEAVCrBBm4CAABIBQAADgAAAAAAAAAAAAAAAAAu&#10;AgAAZHJzL2Uyb0RvYy54bWxQSwECLQAUAAYACAAAACEAzAj+KdsAAAAHAQAADwAAAAAAAAAAAAAA&#10;AADIBAAAZHJzL2Rvd25yZXYueG1sUEsFBgAAAAAEAAQA8wAAANAFAAAAAA==&#10;" fillcolor="#e30000 [3205]" stroked="f" strokeweight="1pt">
              <w10:wrap anchorx="margin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00AD280"/>
    <w:lvl w:ilvl="0">
      <w:start w:val="1"/>
      <w:numFmt w:val="bullet"/>
      <w:pStyle w:val="ListBullet2"/>
      <w:lvlText w:val="□"/>
      <w:lvlJc w:val="left"/>
      <w:pPr>
        <w:ind w:left="792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" w15:restartNumberingAfterBreak="0">
    <w:nsid w:val="FFFFFF89"/>
    <w:multiLevelType w:val="singleLevel"/>
    <w:tmpl w:val="B56ED9C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4"/>
      </w:rPr>
    </w:lvl>
  </w:abstractNum>
  <w:abstractNum w:abstractNumId="2" w15:restartNumberingAfterBreak="0">
    <w:nsid w:val="104C7657"/>
    <w:multiLevelType w:val="multilevel"/>
    <w:tmpl w:val="B6F2DCD8"/>
    <w:styleLink w:val="CBSStandardBullets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000000" w:themeColor="text1"/>
        <w:sz w:val="14"/>
      </w:rPr>
    </w:lvl>
    <w:lvl w:ilvl="1">
      <w:start w:val="1"/>
      <w:numFmt w:val="bullet"/>
      <w:pStyle w:val="BulletList2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000000" w:themeColor="text1"/>
        <w:sz w:val="16"/>
      </w:rPr>
    </w:lvl>
    <w:lvl w:ilvl="2">
      <w:start w:val="1"/>
      <w:numFmt w:val="bullet"/>
      <w:pStyle w:val="BulletList3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pStyle w:val="BulletList4"/>
      <w:lvlText w:val=""/>
      <w:lvlJc w:val="left"/>
      <w:pPr>
        <w:ind w:left="864" w:hanging="216"/>
      </w:pPr>
      <w:rPr>
        <w:rFonts w:ascii="Symbol" w:hAnsi="Symbol" w:hint="default"/>
        <w:color w:val="000000" w:themeColor="text1"/>
        <w:sz w:val="14"/>
      </w:rPr>
    </w:lvl>
    <w:lvl w:ilvl="4">
      <w:start w:val="1"/>
      <w:numFmt w:val="none"/>
      <w:lvlRestart w:val="3"/>
      <w:lvlText w:val=""/>
      <w:lvlJc w:val="left"/>
      <w:pPr>
        <w:ind w:left="1080" w:hanging="216"/>
      </w:pPr>
      <w:rPr>
        <w:rFonts w:hint="default"/>
      </w:rPr>
    </w:lvl>
    <w:lvl w:ilvl="5">
      <w:start w:val="1"/>
      <w:numFmt w:val="none"/>
      <w:lvlRestart w:val="3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Restart w:val="3"/>
      <w:lvlText w:val="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Restart w:val="3"/>
      <w:lvlText w:val="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ind w:left="1944" w:hanging="216"/>
      </w:pPr>
      <w:rPr>
        <w:rFonts w:hint="default"/>
      </w:rPr>
    </w:lvl>
  </w:abstractNum>
  <w:abstractNum w:abstractNumId="3" w15:restartNumberingAfterBreak="0">
    <w:nsid w:val="119B1AE8"/>
    <w:multiLevelType w:val="hybridMultilevel"/>
    <w:tmpl w:val="E064EE12"/>
    <w:lvl w:ilvl="0" w:tplc="60ECC8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8DE63D1A">
      <w:start w:val="1"/>
      <w:numFmt w:val="lowerLetter"/>
      <w:lvlText w:val="%2."/>
      <w:lvlJc w:val="left"/>
      <w:pPr>
        <w:ind w:left="1440" w:hanging="360"/>
      </w:pPr>
    </w:lvl>
    <w:lvl w:ilvl="2" w:tplc="63C61DDC" w:tentative="1">
      <w:start w:val="1"/>
      <w:numFmt w:val="lowerRoman"/>
      <w:lvlText w:val="%3."/>
      <w:lvlJc w:val="right"/>
      <w:pPr>
        <w:ind w:left="2160" w:hanging="180"/>
      </w:pPr>
    </w:lvl>
    <w:lvl w:ilvl="3" w:tplc="DE3C53A4" w:tentative="1">
      <w:start w:val="1"/>
      <w:numFmt w:val="decimal"/>
      <w:lvlText w:val="%4."/>
      <w:lvlJc w:val="left"/>
      <w:pPr>
        <w:ind w:left="2880" w:hanging="360"/>
      </w:pPr>
    </w:lvl>
    <w:lvl w:ilvl="4" w:tplc="4558CF26" w:tentative="1">
      <w:start w:val="1"/>
      <w:numFmt w:val="lowerLetter"/>
      <w:lvlText w:val="%5."/>
      <w:lvlJc w:val="left"/>
      <w:pPr>
        <w:ind w:left="3600" w:hanging="360"/>
      </w:pPr>
    </w:lvl>
    <w:lvl w:ilvl="5" w:tplc="A2B45AF2" w:tentative="1">
      <w:start w:val="1"/>
      <w:numFmt w:val="lowerRoman"/>
      <w:lvlText w:val="%6."/>
      <w:lvlJc w:val="right"/>
      <w:pPr>
        <w:ind w:left="4320" w:hanging="180"/>
      </w:pPr>
    </w:lvl>
    <w:lvl w:ilvl="6" w:tplc="7B06038A" w:tentative="1">
      <w:start w:val="1"/>
      <w:numFmt w:val="decimal"/>
      <w:lvlText w:val="%7."/>
      <w:lvlJc w:val="left"/>
      <w:pPr>
        <w:ind w:left="5040" w:hanging="360"/>
      </w:pPr>
    </w:lvl>
    <w:lvl w:ilvl="7" w:tplc="29C6F11C" w:tentative="1">
      <w:start w:val="1"/>
      <w:numFmt w:val="lowerLetter"/>
      <w:lvlText w:val="%8."/>
      <w:lvlJc w:val="left"/>
      <w:pPr>
        <w:ind w:left="5760" w:hanging="360"/>
      </w:pPr>
    </w:lvl>
    <w:lvl w:ilvl="8" w:tplc="87F65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3ACD"/>
    <w:multiLevelType w:val="hybridMultilevel"/>
    <w:tmpl w:val="36E2D038"/>
    <w:lvl w:ilvl="0" w:tplc="4D94802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D506F534" w:tentative="1">
      <w:start w:val="1"/>
      <w:numFmt w:val="lowerLetter"/>
      <w:lvlText w:val="%2."/>
      <w:lvlJc w:val="left"/>
      <w:pPr>
        <w:ind w:left="1440" w:hanging="360"/>
      </w:pPr>
    </w:lvl>
    <w:lvl w:ilvl="2" w:tplc="79F0531E" w:tentative="1">
      <w:start w:val="1"/>
      <w:numFmt w:val="lowerRoman"/>
      <w:lvlText w:val="%3."/>
      <w:lvlJc w:val="right"/>
      <w:pPr>
        <w:ind w:left="2160" w:hanging="180"/>
      </w:pPr>
    </w:lvl>
    <w:lvl w:ilvl="3" w:tplc="106C58D8" w:tentative="1">
      <w:start w:val="1"/>
      <w:numFmt w:val="decimal"/>
      <w:lvlText w:val="%4."/>
      <w:lvlJc w:val="left"/>
      <w:pPr>
        <w:ind w:left="2880" w:hanging="360"/>
      </w:pPr>
    </w:lvl>
    <w:lvl w:ilvl="4" w:tplc="B3BA82F2" w:tentative="1">
      <w:start w:val="1"/>
      <w:numFmt w:val="lowerLetter"/>
      <w:lvlText w:val="%5."/>
      <w:lvlJc w:val="left"/>
      <w:pPr>
        <w:ind w:left="3600" w:hanging="360"/>
      </w:pPr>
    </w:lvl>
    <w:lvl w:ilvl="5" w:tplc="26FAC952" w:tentative="1">
      <w:start w:val="1"/>
      <w:numFmt w:val="lowerRoman"/>
      <w:lvlText w:val="%6."/>
      <w:lvlJc w:val="right"/>
      <w:pPr>
        <w:ind w:left="4320" w:hanging="180"/>
      </w:pPr>
    </w:lvl>
    <w:lvl w:ilvl="6" w:tplc="F45C1600" w:tentative="1">
      <w:start w:val="1"/>
      <w:numFmt w:val="decimal"/>
      <w:lvlText w:val="%7."/>
      <w:lvlJc w:val="left"/>
      <w:pPr>
        <w:ind w:left="5040" w:hanging="360"/>
      </w:pPr>
    </w:lvl>
    <w:lvl w:ilvl="7" w:tplc="7A069700" w:tentative="1">
      <w:start w:val="1"/>
      <w:numFmt w:val="lowerLetter"/>
      <w:lvlText w:val="%8."/>
      <w:lvlJc w:val="left"/>
      <w:pPr>
        <w:ind w:left="5760" w:hanging="360"/>
      </w:pPr>
    </w:lvl>
    <w:lvl w:ilvl="8" w:tplc="60CA8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37CD"/>
    <w:multiLevelType w:val="hybridMultilevel"/>
    <w:tmpl w:val="F63ABD58"/>
    <w:lvl w:ilvl="0" w:tplc="ABA0958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4A45DE" w:tentative="1">
      <w:start w:val="1"/>
      <w:numFmt w:val="lowerLetter"/>
      <w:lvlText w:val="%2."/>
      <w:lvlJc w:val="left"/>
      <w:pPr>
        <w:ind w:left="1440" w:hanging="360"/>
      </w:pPr>
    </w:lvl>
    <w:lvl w:ilvl="2" w:tplc="C7D82D10" w:tentative="1">
      <w:start w:val="1"/>
      <w:numFmt w:val="lowerRoman"/>
      <w:lvlText w:val="%3."/>
      <w:lvlJc w:val="right"/>
      <w:pPr>
        <w:ind w:left="2160" w:hanging="180"/>
      </w:pPr>
    </w:lvl>
    <w:lvl w:ilvl="3" w:tplc="0924FDBA" w:tentative="1">
      <w:start w:val="1"/>
      <w:numFmt w:val="decimal"/>
      <w:lvlText w:val="%4."/>
      <w:lvlJc w:val="left"/>
      <w:pPr>
        <w:ind w:left="2880" w:hanging="360"/>
      </w:pPr>
    </w:lvl>
    <w:lvl w:ilvl="4" w:tplc="8C4E02AE" w:tentative="1">
      <w:start w:val="1"/>
      <w:numFmt w:val="lowerLetter"/>
      <w:lvlText w:val="%5."/>
      <w:lvlJc w:val="left"/>
      <w:pPr>
        <w:ind w:left="3600" w:hanging="360"/>
      </w:pPr>
    </w:lvl>
    <w:lvl w:ilvl="5" w:tplc="446EB5BA" w:tentative="1">
      <w:start w:val="1"/>
      <w:numFmt w:val="lowerRoman"/>
      <w:lvlText w:val="%6."/>
      <w:lvlJc w:val="right"/>
      <w:pPr>
        <w:ind w:left="4320" w:hanging="180"/>
      </w:pPr>
    </w:lvl>
    <w:lvl w:ilvl="6" w:tplc="254ADDD0" w:tentative="1">
      <w:start w:val="1"/>
      <w:numFmt w:val="decimal"/>
      <w:lvlText w:val="%7."/>
      <w:lvlJc w:val="left"/>
      <w:pPr>
        <w:ind w:left="5040" w:hanging="360"/>
      </w:pPr>
    </w:lvl>
    <w:lvl w:ilvl="7" w:tplc="28C0C2DE" w:tentative="1">
      <w:start w:val="1"/>
      <w:numFmt w:val="lowerLetter"/>
      <w:lvlText w:val="%8."/>
      <w:lvlJc w:val="left"/>
      <w:pPr>
        <w:ind w:left="5760" w:hanging="360"/>
      </w:pPr>
    </w:lvl>
    <w:lvl w:ilvl="8" w:tplc="799A9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5179E"/>
    <w:multiLevelType w:val="multilevel"/>
    <w:tmpl w:val="F476DEB0"/>
    <w:styleLink w:val="CBSNumberedList"/>
    <w:lvl w:ilvl="0">
      <w:start w:val="1"/>
      <w:numFmt w:val="decimal"/>
      <w:lvlText w:val="%1."/>
      <w:lvlJc w:val="left"/>
      <w:pPr>
        <w:ind w:left="216" w:hanging="216"/>
      </w:pPr>
      <w:rPr>
        <w:rFonts w:ascii="Arial" w:hAnsi="Arial" w:hint="default"/>
        <w:b/>
        <w:i w:val="0"/>
        <w:color w:val="000000" w:themeColor="text1"/>
        <w:sz w:val="14"/>
      </w:rPr>
    </w:lvl>
    <w:lvl w:ilvl="1">
      <w:start w:val="1"/>
      <w:numFmt w:val="lowerLetter"/>
      <w:lvlText w:val="%2."/>
      <w:lvlJc w:val="left"/>
      <w:pPr>
        <w:ind w:left="432" w:hanging="216"/>
      </w:pPr>
      <w:rPr>
        <w:rFonts w:ascii="Arial" w:hAnsi="Arial" w:hint="default"/>
        <w:b/>
        <w:color w:val="000000" w:themeColor="text1"/>
        <w:sz w:val="14"/>
      </w:rPr>
    </w:lvl>
    <w:lvl w:ilvl="2">
      <w:start w:val="1"/>
      <w:numFmt w:val="none"/>
      <w:lvlRestart w:val="1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C7162B9"/>
    <w:multiLevelType w:val="hybridMultilevel"/>
    <w:tmpl w:val="2772BA3A"/>
    <w:lvl w:ilvl="0" w:tplc="39AC0E6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7A478E2" w:tentative="1">
      <w:start w:val="1"/>
      <w:numFmt w:val="lowerLetter"/>
      <w:lvlText w:val="%2."/>
      <w:lvlJc w:val="left"/>
      <w:pPr>
        <w:ind w:left="1440" w:hanging="360"/>
      </w:pPr>
    </w:lvl>
    <w:lvl w:ilvl="2" w:tplc="DA6C0F12" w:tentative="1">
      <w:start w:val="1"/>
      <w:numFmt w:val="lowerRoman"/>
      <w:lvlText w:val="%3."/>
      <w:lvlJc w:val="right"/>
      <w:pPr>
        <w:ind w:left="2160" w:hanging="180"/>
      </w:pPr>
    </w:lvl>
    <w:lvl w:ilvl="3" w:tplc="997A42D2" w:tentative="1">
      <w:start w:val="1"/>
      <w:numFmt w:val="decimal"/>
      <w:lvlText w:val="%4."/>
      <w:lvlJc w:val="left"/>
      <w:pPr>
        <w:ind w:left="2880" w:hanging="360"/>
      </w:pPr>
    </w:lvl>
    <w:lvl w:ilvl="4" w:tplc="E5441E6C" w:tentative="1">
      <w:start w:val="1"/>
      <w:numFmt w:val="lowerLetter"/>
      <w:lvlText w:val="%5."/>
      <w:lvlJc w:val="left"/>
      <w:pPr>
        <w:ind w:left="3600" w:hanging="360"/>
      </w:pPr>
    </w:lvl>
    <w:lvl w:ilvl="5" w:tplc="8EC49288" w:tentative="1">
      <w:start w:val="1"/>
      <w:numFmt w:val="lowerRoman"/>
      <w:lvlText w:val="%6."/>
      <w:lvlJc w:val="right"/>
      <w:pPr>
        <w:ind w:left="4320" w:hanging="180"/>
      </w:pPr>
    </w:lvl>
    <w:lvl w:ilvl="6" w:tplc="FF7CE4DE" w:tentative="1">
      <w:start w:val="1"/>
      <w:numFmt w:val="decimal"/>
      <w:lvlText w:val="%7."/>
      <w:lvlJc w:val="left"/>
      <w:pPr>
        <w:ind w:left="5040" w:hanging="360"/>
      </w:pPr>
    </w:lvl>
    <w:lvl w:ilvl="7" w:tplc="D0BE7F78" w:tentative="1">
      <w:start w:val="1"/>
      <w:numFmt w:val="lowerLetter"/>
      <w:lvlText w:val="%8."/>
      <w:lvlJc w:val="left"/>
      <w:pPr>
        <w:ind w:left="5760" w:hanging="360"/>
      </w:pPr>
    </w:lvl>
    <w:lvl w:ilvl="8" w:tplc="94562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4EA0"/>
    <w:multiLevelType w:val="hybridMultilevel"/>
    <w:tmpl w:val="318AEAF2"/>
    <w:lvl w:ilvl="0" w:tplc="E132B70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192C0BAC" w:tentative="1">
      <w:start w:val="1"/>
      <w:numFmt w:val="lowerLetter"/>
      <w:lvlText w:val="%2."/>
      <w:lvlJc w:val="left"/>
      <w:pPr>
        <w:ind w:left="1440" w:hanging="360"/>
      </w:pPr>
    </w:lvl>
    <w:lvl w:ilvl="2" w:tplc="FF8C3BC2" w:tentative="1">
      <w:start w:val="1"/>
      <w:numFmt w:val="lowerRoman"/>
      <w:lvlText w:val="%3."/>
      <w:lvlJc w:val="right"/>
      <w:pPr>
        <w:ind w:left="2160" w:hanging="180"/>
      </w:pPr>
    </w:lvl>
    <w:lvl w:ilvl="3" w:tplc="ED24FDC0" w:tentative="1">
      <w:start w:val="1"/>
      <w:numFmt w:val="decimal"/>
      <w:lvlText w:val="%4."/>
      <w:lvlJc w:val="left"/>
      <w:pPr>
        <w:ind w:left="2880" w:hanging="360"/>
      </w:pPr>
    </w:lvl>
    <w:lvl w:ilvl="4" w:tplc="6DB4FF10" w:tentative="1">
      <w:start w:val="1"/>
      <w:numFmt w:val="lowerLetter"/>
      <w:lvlText w:val="%5."/>
      <w:lvlJc w:val="left"/>
      <w:pPr>
        <w:ind w:left="3600" w:hanging="360"/>
      </w:pPr>
    </w:lvl>
    <w:lvl w:ilvl="5" w:tplc="95428EF0" w:tentative="1">
      <w:start w:val="1"/>
      <w:numFmt w:val="lowerRoman"/>
      <w:lvlText w:val="%6."/>
      <w:lvlJc w:val="right"/>
      <w:pPr>
        <w:ind w:left="4320" w:hanging="180"/>
      </w:pPr>
    </w:lvl>
    <w:lvl w:ilvl="6" w:tplc="1B981C4E" w:tentative="1">
      <w:start w:val="1"/>
      <w:numFmt w:val="decimal"/>
      <w:lvlText w:val="%7."/>
      <w:lvlJc w:val="left"/>
      <w:pPr>
        <w:ind w:left="5040" w:hanging="360"/>
      </w:pPr>
    </w:lvl>
    <w:lvl w:ilvl="7" w:tplc="4D02A66A" w:tentative="1">
      <w:start w:val="1"/>
      <w:numFmt w:val="lowerLetter"/>
      <w:lvlText w:val="%8."/>
      <w:lvlJc w:val="left"/>
      <w:pPr>
        <w:ind w:left="5760" w:hanging="360"/>
      </w:pPr>
    </w:lvl>
    <w:lvl w:ilvl="8" w:tplc="D9228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B2B8F"/>
    <w:multiLevelType w:val="hybridMultilevel"/>
    <w:tmpl w:val="ADEEF24A"/>
    <w:lvl w:ilvl="0" w:tplc="FBD0FD62">
      <w:start w:val="1"/>
      <w:numFmt w:val="decimal"/>
      <w:lvlText w:val="%1."/>
      <w:lvlJc w:val="left"/>
      <w:pPr>
        <w:ind w:left="720" w:hanging="360"/>
      </w:pPr>
    </w:lvl>
    <w:lvl w:ilvl="1" w:tplc="5EB82C1C">
      <w:start w:val="1"/>
      <w:numFmt w:val="lowerLetter"/>
      <w:lvlText w:val="%2."/>
      <w:lvlJc w:val="left"/>
      <w:pPr>
        <w:ind w:left="1440" w:hanging="360"/>
      </w:pPr>
    </w:lvl>
    <w:lvl w:ilvl="2" w:tplc="9D00B3A8" w:tentative="1">
      <w:start w:val="1"/>
      <w:numFmt w:val="lowerRoman"/>
      <w:lvlText w:val="%3."/>
      <w:lvlJc w:val="right"/>
      <w:pPr>
        <w:ind w:left="2160" w:hanging="180"/>
      </w:pPr>
    </w:lvl>
    <w:lvl w:ilvl="3" w:tplc="C36A4DFC" w:tentative="1">
      <w:start w:val="1"/>
      <w:numFmt w:val="decimal"/>
      <w:lvlText w:val="%4."/>
      <w:lvlJc w:val="left"/>
      <w:pPr>
        <w:ind w:left="2880" w:hanging="360"/>
      </w:pPr>
    </w:lvl>
    <w:lvl w:ilvl="4" w:tplc="4DF65BE4" w:tentative="1">
      <w:start w:val="1"/>
      <w:numFmt w:val="lowerLetter"/>
      <w:lvlText w:val="%5."/>
      <w:lvlJc w:val="left"/>
      <w:pPr>
        <w:ind w:left="3600" w:hanging="360"/>
      </w:pPr>
    </w:lvl>
    <w:lvl w:ilvl="5" w:tplc="97A8B142" w:tentative="1">
      <w:start w:val="1"/>
      <w:numFmt w:val="lowerRoman"/>
      <w:lvlText w:val="%6."/>
      <w:lvlJc w:val="right"/>
      <w:pPr>
        <w:ind w:left="4320" w:hanging="180"/>
      </w:pPr>
    </w:lvl>
    <w:lvl w:ilvl="6" w:tplc="C40A49FC" w:tentative="1">
      <w:start w:val="1"/>
      <w:numFmt w:val="decimal"/>
      <w:lvlText w:val="%7."/>
      <w:lvlJc w:val="left"/>
      <w:pPr>
        <w:ind w:left="5040" w:hanging="360"/>
      </w:pPr>
    </w:lvl>
    <w:lvl w:ilvl="7" w:tplc="A1804698" w:tentative="1">
      <w:start w:val="1"/>
      <w:numFmt w:val="lowerLetter"/>
      <w:lvlText w:val="%8."/>
      <w:lvlJc w:val="left"/>
      <w:pPr>
        <w:ind w:left="5760" w:hanging="360"/>
      </w:pPr>
    </w:lvl>
    <w:lvl w:ilvl="8" w:tplc="BBEE3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A500C"/>
    <w:multiLevelType w:val="hybridMultilevel"/>
    <w:tmpl w:val="3AB0E874"/>
    <w:lvl w:ilvl="0" w:tplc="6958BE1E">
      <w:start w:val="1"/>
      <w:numFmt w:val="decimal"/>
      <w:lvlText w:val="%1."/>
      <w:lvlJc w:val="left"/>
      <w:pPr>
        <w:ind w:left="720" w:hanging="360"/>
      </w:pPr>
    </w:lvl>
    <w:lvl w:ilvl="1" w:tplc="0B4EF12A">
      <w:start w:val="1"/>
      <w:numFmt w:val="lowerLetter"/>
      <w:lvlText w:val="%2."/>
      <w:lvlJc w:val="left"/>
      <w:pPr>
        <w:ind w:left="1440" w:hanging="360"/>
      </w:pPr>
    </w:lvl>
    <w:lvl w:ilvl="2" w:tplc="7EFC14D4">
      <w:start w:val="1"/>
      <w:numFmt w:val="lowerRoman"/>
      <w:lvlText w:val="%3."/>
      <w:lvlJc w:val="right"/>
      <w:pPr>
        <w:ind w:left="2160" w:hanging="180"/>
      </w:pPr>
    </w:lvl>
    <w:lvl w:ilvl="3" w:tplc="48925BC6">
      <w:start w:val="1"/>
      <w:numFmt w:val="decimal"/>
      <w:lvlText w:val="%4."/>
      <w:lvlJc w:val="left"/>
      <w:pPr>
        <w:ind w:left="2880" w:hanging="360"/>
      </w:pPr>
    </w:lvl>
    <w:lvl w:ilvl="4" w:tplc="2214DB0E">
      <w:start w:val="1"/>
      <w:numFmt w:val="lowerLetter"/>
      <w:lvlText w:val="%5."/>
      <w:lvlJc w:val="left"/>
      <w:pPr>
        <w:ind w:left="3600" w:hanging="360"/>
      </w:pPr>
    </w:lvl>
    <w:lvl w:ilvl="5" w:tplc="29E0D058">
      <w:start w:val="1"/>
      <w:numFmt w:val="lowerRoman"/>
      <w:lvlText w:val="%6."/>
      <w:lvlJc w:val="right"/>
      <w:pPr>
        <w:ind w:left="4320" w:hanging="180"/>
      </w:pPr>
    </w:lvl>
    <w:lvl w:ilvl="6" w:tplc="41E42CEE">
      <w:start w:val="1"/>
      <w:numFmt w:val="decimal"/>
      <w:lvlText w:val="%7."/>
      <w:lvlJc w:val="left"/>
      <w:pPr>
        <w:ind w:left="5040" w:hanging="360"/>
      </w:pPr>
    </w:lvl>
    <w:lvl w:ilvl="7" w:tplc="347A8C68">
      <w:start w:val="1"/>
      <w:numFmt w:val="lowerLetter"/>
      <w:lvlText w:val="%8."/>
      <w:lvlJc w:val="left"/>
      <w:pPr>
        <w:ind w:left="5760" w:hanging="360"/>
      </w:pPr>
    </w:lvl>
    <w:lvl w:ilvl="8" w:tplc="017E8F9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462EA"/>
    <w:multiLevelType w:val="multilevel"/>
    <w:tmpl w:val="A3102FA8"/>
    <w:styleLink w:val="DocumentiIst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%1."/>
      <w:lvlJc w:val="left"/>
      <w:pPr>
        <w:ind w:left="1188" w:hanging="1008"/>
      </w:pPr>
      <w:rPr>
        <w:rFonts w:hint="default"/>
      </w:rPr>
    </w:lvl>
    <w:lvl w:ilvl="5">
      <w:start w:val="1"/>
      <w:numFmt w:val="decimal"/>
      <w:lvlText w:val="%6%1.%2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7%1.%2.%3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8%1.%2.%3.%4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249678B"/>
    <w:multiLevelType w:val="multilevel"/>
    <w:tmpl w:val="B6F2DCD8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000000" w:themeColor="text1"/>
        <w:sz w:val="14"/>
      </w:rPr>
    </w:lvl>
    <w:lvl w:ilvl="1">
      <w:start w:val="1"/>
      <w:numFmt w:val="bullet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000000" w:themeColor="text1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  <w:color w:val="000000" w:themeColor="text1"/>
        <w:sz w:val="14"/>
      </w:rPr>
    </w:lvl>
    <w:lvl w:ilvl="4">
      <w:start w:val="1"/>
      <w:numFmt w:val="none"/>
      <w:lvlRestart w:val="3"/>
      <w:lvlText w:val=""/>
      <w:lvlJc w:val="left"/>
      <w:pPr>
        <w:ind w:left="1080" w:hanging="216"/>
      </w:pPr>
      <w:rPr>
        <w:rFonts w:hint="default"/>
      </w:rPr>
    </w:lvl>
    <w:lvl w:ilvl="5">
      <w:start w:val="1"/>
      <w:numFmt w:val="none"/>
      <w:lvlRestart w:val="3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Restart w:val="3"/>
      <w:lvlText w:val="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Restart w:val="3"/>
      <w:lvlText w:val="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ind w:left="1944" w:hanging="216"/>
      </w:pPr>
      <w:rPr>
        <w:rFonts w:hint="default"/>
      </w:rPr>
    </w:lvl>
  </w:abstractNum>
  <w:abstractNum w:abstractNumId="13" w15:restartNumberingAfterBreak="0">
    <w:nsid w:val="34525BBD"/>
    <w:multiLevelType w:val="hybridMultilevel"/>
    <w:tmpl w:val="76367D70"/>
    <w:lvl w:ilvl="0" w:tplc="0E74F50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CD2232B8" w:tentative="1">
      <w:start w:val="1"/>
      <w:numFmt w:val="lowerLetter"/>
      <w:lvlText w:val="%2."/>
      <w:lvlJc w:val="left"/>
      <w:pPr>
        <w:ind w:left="1440" w:hanging="360"/>
      </w:pPr>
    </w:lvl>
    <w:lvl w:ilvl="2" w:tplc="0ACA3CFE" w:tentative="1">
      <w:start w:val="1"/>
      <w:numFmt w:val="lowerRoman"/>
      <w:lvlText w:val="%3."/>
      <w:lvlJc w:val="right"/>
      <w:pPr>
        <w:ind w:left="2160" w:hanging="180"/>
      </w:pPr>
    </w:lvl>
    <w:lvl w:ilvl="3" w:tplc="6242F754" w:tentative="1">
      <w:start w:val="1"/>
      <w:numFmt w:val="decimal"/>
      <w:lvlText w:val="%4."/>
      <w:lvlJc w:val="left"/>
      <w:pPr>
        <w:ind w:left="2880" w:hanging="360"/>
      </w:pPr>
    </w:lvl>
    <w:lvl w:ilvl="4" w:tplc="F4C4AF6C" w:tentative="1">
      <w:start w:val="1"/>
      <w:numFmt w:val="lowerLetter"/>
      <w:lvlText w:val="%5."/>
      <w:lvlJc w:val="left"/>
      <w:pPr>
        <w:ind w:left="3600" w:hanging="360"/>
      </w:pPr>
    </w:lvl>
    <w:lvl w:ilvl="5" w:tplc="679431A2" w:tentative="1">
      <w:start w:val="1"/>
      <w:numFmt w:val="lowerRoman"/>
      <w:lvlText w:val="%6."/>
      <w:lvlJc w:val="right"/>
      <w:pPr>
        <w:ind w:left="4320" w:hanging="180"/>
      </w:pPr>
    </w:lvl>
    <w:lvl w:ilvl="6" w:tplc="925AE902" w:tentative="1">
      <w:start w:val="1"/>
      <w:numFmt w:val="decimal"/>
      <w:lvlText w:val="%7."/>
      <w:lvlJc w:val="left"/>
      <w:pPr>
        <w:ind w:left="5040" w:hanging="360"/>
      </w:pPr>
    </w:lvl>
    <w:lvl w:ilvl="7" w:tplc="A03EE37A" w:tentative="1">
      <w:start w:val="1"/>
      <w:numFmt w:val="lowerLetter"/>
      <w:lvlText w:val="%8."/>
      <w:lvlJc w:val="left"/>
      <w:pPr>
        <w:ind w:left="5760" w:hanging="360"/>
      </w:pPr>
    </w:lvl>
    <w:lvl w:ilvl="8" w:tplc="82D6D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32D00"/>
    <w:multiLevelType w:val="multilevel"/>
    <w:tmpl w:val="18BE7112"/>
    <w:styleLink w:val="CBSBulletList"/>
    <w:lvl w:ilvl="0">
      <w:start w:val="1"/>
      <w:numFmt w:val="bullet"/>
      <w:pStyle w:val="BulletList1"/>
      <w:lvlText w:val=""/>
      <w:lvlJc w:val="left"/>
      <w:pPr>
        <w:ind w:left="432" w:hanging="216"/>
      </w:pPr>
      <w:rPr>
        <w:rFonts w:ascii="Symbol" w:hAnsi="Symbol" w:hint="default"/>
        <w:color w:val="000000" w:themeColor="text1"/>
        <w:sz w:val="14"/>
      </w:rPr>
    </w:lvl>
    <w:lvl w:ilvl="1">
      <w:start w:val="1"/>
      <w:numFmt w:val="bullet"/>
      <w:lvlText w:val="□"/>
      <w:lvlJc w:val="left"/>
      <w:pPr>
        <w:ind w:left="648" w:hanging="216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864" w:hanging="216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1080" w:hanging="216"/>
      </w:pPr>
      <w:rPr>
        <w:rFonts w:ascii="Symbol" w:hAnsi="Symbol" w:hint="default"/>
        <w:color w:val="000000" w:themeColor="text1"/>
        <w:sz w:val="14"/>
      </w:rPr>
    </w:lvl>
    <w:lvl w:ilvl="4">
      <w:start w:val="1"/>
      <w:numFmt w:val="none"/>
      <w:lvlText w:val=""/>
      <w:lvlJc w:val="left"/>
      <w:pPr>
        <w:ind w:left="10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0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0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0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080" w:firstLine="0"/>
      </w:pPr>
      <w:rPr>
        <w:rFonts w:hint="default"/>
      </w:rPr>
    </w:lvl>
  </w:abstractNum>
  <w:abstractNum w:abstractNumId="15" w15:restartNumberingAfterBreak="0">
    <w:nsid w:val="3D8319E4"/>
    <w:multiLevelType w:val="hybridMultilevel"/>
    <w:tmpl w:val="0D140068"/>
    <w:lvl w:ilvl="0" w:tplc="A7586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E7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B08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2A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20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E3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02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A5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E0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66EB2"/>
    <w:multiLevelType w:val="hybridMultilevel"/>
    <w:tmpl w:val="D1C03262"/>
    <w:lvl w:ilvl="0" w:tplc="EE5001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1A27F00" w:tentative="1">
      <w:start w:val="1"/>
      <w:numFmt w:val="lowerLetter"/>
      <w:lvlText w:val="%2."/>
      <w:lvlJc w:val="left"/>
      <w:pPr>
        <w:ind w:left="1440" w:hanging="360"/>
      </w:pPr>
    </w:lvl>
    <w:lvl w:ilvl="2" w:tplc="B014641E" w:tentative="1">
      <w:start w:val="1"/>
      <w:numFmt w:val="lowerRoman"/>
      <w:lvlText w:val="%3."/>
      <w:lvlJc w:val="right"/>
      <w:pPr>
        <w:ind w:left="2160" w:hanging="180"/>
      </w:pPr>
    </w:lvl>
    <w:lvl w:ilvl="3" w:tplc="43268A7E" w:tentative="1">
      <w:start w:val="1"/>
      <w:numFmt w:val="decimal"/>
      <w:lvlText w:val="%4."/>
      <w:lvlJc w:val="left"/>
      <w:pPr>
        <w:ind w:left="2880" w:hanging="360"/>
      </w:pPr>
    </w:lvl>
    <w:lvl w:ilvl="4" w:tplc="9FDAEC56" w:tentative="1">
      <w:start w:val="1"/>
      <w:numFmt w:val="lowerLetter"/>
      <w:lvlText w:val="%5."/>
      <w:lvlJc w:val="left"/>
      <w:pPr>
        <w:ind w:left="3600" w:hanging="360"/>
      </w:pPr>
    </w:lvl>
    <w:lvl w:ilvl="5" w:tplc="3B06A21E" w:tentative="1">
      <w:start w:val="1"/>
      <w:numFmt w:val="lowerRoman"/>
      <w:lvlText w:val="%6."/>
      <w:lvlJc w:val="right"/>
      <w:pPr>
        <w:ind w:left="4320" w:hanging="180"/>
      </w:pPr>
    </w:lvl>
    <w:lvl w:ilvl="6" w:tplc="CA188CD0" w:tentative="1">
      <w:start w:val="1"/>
      <w:numFmt w:val="decimal"/>
      <w:lvlText w:val="%7."/>
      <w:lvlJc w:val="left"/>
      <w:pPr>
        <w:ind w:left="5040" w:hanging="360"/>
      </w:pPr>
    </w:lvl>
    <w:lvl w:ilvl="7" w:tplc="766C6904" w:tentative="1">
      <w:start w:val="1"/>
      <w:numFmt w:val="lowerLetter"/>
      <w:lvlText w:val="%8."/>
      <w:lvlJc w:val="left"/>
      <w:pPr>
        <w:ind w:left="5760" w:hanging="360"/>
      </w:pPr>
    </w:lvl>
    <w:lvl w:ilvl="8" w:tplc="30B84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67CD6"/>
    <w:multiLevelType w:val="hybridMultilevel"/>
    <w:tmpl w:val="C944E3F6"/>
    <w:lvl w:ilvl="0" w:tplc="DC88D9F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8554680E" w:tentative="1">
      <w:start w:val="1"/>
      <w:numFmt w:val="lowerLetter"/>
      <w:lvlText w:val="%2."/>
      <w:lvlJc w:val="left"/>
      <w:pPr>
        <w:ind w:left="1440" w:hanging="360"/>
      </w:pPr>
    </w:lvl>
    <w:lvl w:ilvl="2" w:tplc="496899BE" w:tentative="1">
      <w:start w:val="1"/>
      <w:numFmt w:val="lowerRoman"/>
      <w:lvlText w:val="%3."/>
      <w:lvlJc w:val="right"/>
      <w:pPr>
        <w:ind w:left="2160" w:hanging="180"/>
      </w:pPr>
    </w:lvl>
    <w:lvl w:ilvl="3" w:tplc="760E954E" w:tentative="1">
      <w:start w:val="1"/>
      <w:numFmt w:val="decimal"/>
      <w:lvlText w:val="%4."/>
      <w:lvlJc w:val="left"/>
      <w:pPr>
        <w:ind w:left="2880" w:hanging="360"/>
      </w:pPr>
    </w:lvl>
    <w:lvl w:ilvl="4" w:tplc="7F14982E" w:tentative="1">
      <w:start w:val="1"/>
      <w:numFmt w:val="lowerLetter"/>
      <w:lvlText w:val="%5."/>
      <w:lvlJc w:val="left"/>
      <w:pPr>
        <w:ind w:left="3600" w:hanging="360"/>
      </w:pPr>
    </w:lvl>
    <w:lvl w:ilvl="5" w:tplc="ABCE6830" w:tentative="1">
      <w:start w:val="1"/>
      <w:numFmt w:val="lowerRoman"/>
      <w:lvlText w:val="%6."/>
      <w:lvlJc w:val="right"/>
      <w:pPr>
        <w:ind w:left="4320" w:hanging="180"/>
      </w:pPr>
    </w:lvl>
    <w:lvl w:ilvl="6" w:tplc="8F6A451A" w:tentative="1">
      <w:start w:val="1"/>
      <w:numFmt w:val="decimal"/>
      <w:lvlText w:val="%7."/>
      <w:lvlJc w:val="left"/>
      <w:pPr>
        <w:ind w:left="5040" w:hanging="360"/>
      </w:pPr>
    </w:lvl>
    <w:lvl w:ilvl="7" w:tplc="4206654E" w:tentative="1">
      <w:start w:val="1"/>
      <w:numFmt w:val="lowerLetter"/>
      <w:lvlText w:val="%8."/>
      <w:lvlJc w:val="left"/>
      <w:pPr>
        <w:ind w:left="5760" w:hanging="360"/>
      </w:pPr>
    </w:lvl>
    <w:lvl w:ilvl="8" w:tplc="F36AC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B223A"/>
    <w:multiLevelType w:val="multilevel"/>
    <w:tmpl w:val="CA8877F8"/>
    <w:styleLink w:val="Heading2Num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9960E5B"/>
    <w:multiLevelType w:val="hybridMultilevel"/>
    <w:tmpl w:val="BBFC5B30"/>
    <w:lvl w:ilvl="0" w:tplc="29200F34">
      <w:start w:val="1"/>
      <w:numFmt w:val="decimal"/>
      <w:lvlText w:val="%1."/>
      <w:lvlJc w:val="left"/>
      <w:pPr>
        <w:ind w:left="720" w:hanging="360"/>
      </w:pPr>
    </w:lvl>
    <w:lvl w:ilvl="1" w:tplc="85C2C37C" w:tentative="1">
      <w:start w:val="1"/>
      <w:numFmt w:val="lowerLetter"/>
      <w:lvlText w:val="%2."/>
      <w:lvlJc w:val="left"/>
      <w:pPr>
        <w:ind w:left="1440" w:hanging="360"/>
      </w:pPr>
    </w:lvl>
    <w:lvl w:ilvl="2" w:tplc="F8F6BED6" w:tentative="1">
      <w:start w:val="1"/>
      <w:numFmt w:val="lowerRoman"/>
      <w:lvlText w:val="%3."/>
      <w:lvlJc w:val="right"/>
      <w:pPr>
        <w:ind w:left="2160" w:hanging="180"/>
      </w:pPr>
    </w:lvl>
    <w:lvl w:ilvl="3" w:tplc="A70ACCAA" w:tentative="1">
      <w:start w:val="1"/>
      <w:numFmt w:val="decimal"/>
      <w:lvlText w:val="%4."/>
      <w:lvlJc w:val="left"/>
      <w:pPr>
        <w:ind w:left="2880" w:hanging="360"/>
      </w:pPr>
    </w:lvl>
    <w:lvl w:ilvl="4" w:tplc="2B7A2DA8" w:tentative="1">
      <w:start w:val="1"/>
      <w:numFmt w:val="lowerLetter"/>
      <w:lvlText w:val="%5."/>
      <w:lvlJc w:val="left"/>
      <w:pPr>
        <w:ind w:left="3600" w:hanging="360"/>
      </w:pPr>
    </w:lvl>
    <w:lvl w:ilvl="5" w:tplc="D272119C" w:tentative="1">
      <w:start w:val="1"/>
      <w:numFmt w:val="lowerRoman"/>
      <w:lvlText w:val="%6."/>
      <w:lvlJc w:val="right"/>
      <w:pPr>
        <w:ind w:left="4320" w:hanging="180"/>
      </w:pPr>
    </w:lvl>
    <w:lvl w:ilvl="6" w:tplc="F3FE0F4A" w:tentative="1">
      <w:start w:val="1"/>
      <w:numFmt w:val="decimal"/>
      <w:lvlText w:val="%7."/>
      <w:lvlJc w:val="left"/>
      <w:pPr>
        <w:ind w:left="5040" w:hanging="360"/>
      </w:pPr>
    </w:lvl>
    <w:lvl w:ilvl="7" w:tplc="00FC08F4" w:tentative="1">
      <w:start w:val="1"/>
      <w:numFmt w:val="lowerLetter"/>
      <w:lvlText w:val="%8."/>
      <w:lvlJc w:val="left"/>
      <w:pPr>
        <w:ind w:left="5760" w:hanging="360"/>
      </w:pPr>
    </w:lvl>
    <w:lvl w:ilvl="8" w:tplc="E7509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45945"/>
    <w:multiLevelType w:val="multilevel"/>
    <w:tmpl w:val="76EA8E8E"/>
    <w:lvl w:ilvl="0">
      <w:start w:val="1"/>
      <w:numFmt w:val="decimal"/>
      <w:pStyle w:val="HeadingNum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heading1Num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ubheading2Num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Subheading3Num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874A1C"/>
    <w:multiLevelType w:val="hybridMultilevel"/>
    <w:tmpl w:val="B47C7D28"/>
    <w:lvl w:ilvl="0" w:tplc="F702B1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7BC277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378AE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55AAB68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D6C28B6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DAA8EB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C63C8E00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448228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A6E8B1A4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13A4BED"/>
    <w:multiLevelType w:val="hybridMultilevel"/>
    <w:tmpl w:val="29E0B9F8"/>
    <w:lvl w:ilvl="0" w:tplc="28D6E57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016093E">
      <w:start w:val="1"/>
      <w:numFmt w:val="lowerLetter"/>
      <w:lvlText w:val="%2."/>
      <w:lvlJc w:val="left"/>
      <w:pPr>
        <w:ind w:left="1440" w:hanging="360"/>
      </w:pPr>
    </w:lvl>
    <w:lvl w:ilvl="2" w:tplc="CF7EA41E" w:tentative="1">
      <w:start w:val="1"/>
      <w:numFmt w:val="lowerRoman"/>
      <w:lvlText w:val="%3."/>
      <w:lvlJc w:val="right"/>
      <w:pPr>
        <w:ind w:left="2160" w:hanging="180"/>
      </w:pPr>
    </w:lvl>
    <w:lvl w:ilvl="3" w:tplc="B62C5E32" w:tentative="1">
      <w:start w:val="1"/>
      <w:numFmt w:val="decimal"/>
      <w:lvlText w:val="%4."/>
      <w:lvlJc w:val="left"/>
      <w:pPr>
        <w:ind w:left="2880" w:hanging="360"/>
      </w:pPr>
    </w:lvl>
    <w:lvl w:ilvl="4" w:tplc="FFA606D6" w:tentative="1">
      <w:start w:val="1"/>
      <w:numFmt w:val="lowerLetter"/>
      <w:lvlText w:val="%5."/>
      <w:lvlJc w:val="left"/>
      <w:pPr>
        <w:ind w:left="3600" w:hanging="360"/>
      </w:pPr>
    </w:lvl>
    <w:lvl w:ilvl="5" w:tplc="87C0400A" w:tentative="1">
      <w:start w:val="1"/>
      <w:numFmt w:val="lowerRoman"/>
      <w:lvlText w:val="%6."/>
      <w:lvlJc w:val="right"/>
      <w:pPr>
        <w:ind w:left="4320" w:hanging="180"/>
      </w:pPr>
    </w:lvl>
    <w:lvl w:ilvl="6" w:tplc="10363912" w:tentative="1">
      <w:start w:val="1"/>
      <w:numFmt w:val="decimal"/>
      <w:lvlText w:val="%7."/>
      <w:lvlJc w:val="left"/>
      <w:pPr>
        <w:ind w:left="5040" w:hanging="360"/>
      </w:pPr>
    </w:lvl>
    <w:lvl w:ilvl="7" w:tplc="B8705750" w:tentative="1">
      <w:start w:val="1"/>
      <w:numFmt w:val="lowerLetter"/>
      <w:lvlText w:val="%8."/>
      <w:lvlJc w:val="left"/>
      <w:pPr>
        <w:ind w:left="5760" w:hanging="360"/>
      </w:pPr>
    </w:lvl>
    <w:lvl w:ilvl="8" w:tplc="1F4E5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F0839"/>
    <w:multiLevelType w:val="multilevel"/>
    <w:tmpl w:val="E808FB1C"/>
    <w:lvl w:ilvl="0">
      <w:start w:val="1"/>
      <w:numFmt w:val="decimal"/>
      <w:pStyle w:val="NumList1"/>
      <w:lvlText w:val="%1."/>
      <w:lvlJc w:val="left"/>
      <w:pPr>
        <w:ind w:left="216" w:hanging="216"/>
      </w:pPr>
      <w:rPr>
        <w:rFonts w:ascii="Arial" w:hAnsi="Arial" w:hint="default"/>
        <w:b/>
        <w:i w:val="0"/>
        <w:color w:val="000000" w:themeColor="text1"/>
        <w:sz w:val="14"/>
      </w:rPr>
    </w:lvl>
    <w:lvl w:ilvl="1">
      <w:start w:val="1"/>
      <w:numFmt w:val="lowerLetter"/>
      <w:pStyle w:val="NumList2"/>
      <w:lvlText w:val="%2."/>
      <w:lvlJc w:val="left"/>
      <w:pPr>
        <w:ind w:left="432" w:hanging="216"/>
      </w:pPr>
      <w:rPr>
        <w:rFonts w:ascii="Arial" w:hAnsi="Arial" w:hint="default"/>
        <w:b/>
        <w:color w:val="000000" w:themeColor="text1"/>
        <w:sz w:val="14"/>
      </w:rPr>
    </w:lvl>
    <w:lvl w:ilvl="2">
      <w:start w:val="1"/>
      <w:numFmt w:val="none"/>
      <w:lvlRestart w:val="1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70FF3F5D"/>
    <w:multiLevelType w:val="multilevel"/>
    <w:tmpl w:val="0FC41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1"/>
  </w:num>
  <w:num w:numId="5">
    <w:abstractNumId w:val="18"/>
  </w:num>
  <w:num w:numId="6">
    <w:abstractNumId w:val="1"/>
  </w:num>
  <w:num w:numId="7">
    <w:abstractNumId w:val="0"/>
  </w:num>
  <w:num w:numId="8">
    <w:abstractNumId w:val="23"/>
  </w:num>
  <w:num w:numId="9">
    <w:abstractNumId w:val="2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</w:num>
  <w:num w:numId="13">
    <w:abstractNumId w:val="3"/>
  </w:num>
  <w:num w:numId="14">
    <w:abstractNumId w:val="24"/>
  </w:num>
  <w:num w:numId="15">
    <w:abstractNumId w:val="22"/>
  </w:num>
  <w:num w:numId="16">
    <w:abstractNumId w:val="7"/>
  </w:num>
  <w:num w:numId="17">
    <w:abstractNumId w:val="16"/>
  </w:num>
  <w:num w:numId="18">
    <w:abstractNumId w:val="4"/>
  </w:num>
  <w:num w:numId="19">
    <w:abstractNumId w:val="13"/>
  </w:num>
  <w:num w:numId="20">
    <w:abstractNumId w:val="5"/>
  </w:num>
  <w:num w:numId="21">
    <w:abstractNumId w:val="17"/>
  </w:num>
  <w:num w:numId="22">
    <w:abstractNumId w:val="8"/>
  </w:num>
  <w:num w:numId="23">
    <w:abstractNumId w:val="9"/>
  </w:num>
  <w:num w:numId="24">
    <w:abstractNumId w:val="10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21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03"/>
    <w:rsid w:val="000401F5"/>
    <w:rsid w:val="001115FC"/>
    <w:rsid w:val="00204EE9"/>
    <w:rsid w:val="00381EFE"/>
    <w:rsid w:val="00450D21"/>
    <w:rsid w:val="006F2B46"/>
    <w:rsid w:val="00802F8F"/>
    <w:rsid w:val="00807B16"/>
    <w:rsid w:val="008C200D"/>
    <w:rsid w:val="008E602B"/>
    <w:rsid w:val="00A37E3C"/>
    <w:rsid w:val="00A701CB"/>
    <w:rsid w:val="00AC404F"/>
    <w:rsid w:val="00AD212A"/>
    <w:rsid w:val="00C8495F"/>
    <w:rsid w:val="00D64803"/>
    <w:rsid w:val="00DB3EFE"/>
    <w:rsid w:val="00F4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3E81"/>
  <w15:docId w15:val="{DB9381A3-7DAB-4801-966C-9F992D9E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5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 w:qFormat="1"/>
    <w:lsdException w:name="footer" w:semiHidden="1" w:unhideWhenUsed="1"/>
    <w:lsdException w:name="index heading" w:semiHidden="1" w:unhideWhenUsed="1"/>
    <w:lsdException w:name="caption" w:semiHidden="1" w:uiPriority="30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rsid w:val="00A42EF1"/>
    <w:rPr>
      <w:sz w:val="22"/>
    </w:rPr>
  </w:style>
  <w:style w:type="paragraph" w:styleId="Heading1">
    <w:name w:val="heading 1"/>
    <w:aliases w:val="DocumentTitle"/>
    <w:basedOn w:val="Normal"/>
    <w:next w:val="Heading2"/>
    <w:link w:val="Heading1Char"/>
    <w:uiPriority w:val="99"/>
    <w:semiHidden/>
    <w:qFormat/>
    <w:rsid w:val="00D27C78"/>
    <w:pPr>
      <w:keepNext/>
      <w:keepLines/>
      <w:pBdr>
        <w:bottom w:val="single" w:sz="36" w:space="20" w:color="E30000"/>
      </w:pBdr>
      <w:spacing w:before="1440" w:after="360" w:line="216" w:lineRule="auto"/>
      <w:outlineLvl w:val="0"/>
    </w:pPr>
    <w:rPr>
      <w:rFonts w:asciiTheme="majorHAnsi" w:eastAsiaTheme="majorEastAsia" w:hAnsiTheme="majorHAnsi" w:cstheme="majorBidi"/>
      <w:b/>
      <w:color w:val="006E5E" w:themeColor="accent1"/>
      <w:kern w:val="2"/>
      <w:sz w:val="104"/>
      <w:szCs w:val="32"/>
    </w:rPr>
  </w:style>
  <w:style w:type="paragraph" w:styleId="Heading2">
    <w:name w:val="heading 2"/>
    <w:aliases w:val="DocumentSubtitle"/>
    <w:basedOn w:val="Normal"/>
    <w:next w:val="Normal"/>
    <w:link w:val="Heading2Char"/>
    <w:uiPriority w:val="99"/>
    <w:semiHidden/>
    <w:qFormat/>
    <w:rsid w:val="00D27C78"/>
    <w:pPr>
      <w:keepNext/>
      <w:keepLines/>
      <w:pBdr>
        <w:bottom w:val="single" w:sz="4" w:space="28" w:color="E30000"/>
      </w:pBdr>
      <w:spacing w:before="480" w:after="0"/>
      <w:outlineLvl w:val="1"/>
    </w:pPr>
    <w:rPr>
      <w:rFonts w:ascii="Arial" w:eastAsiaTheme="majorEastAsia" w:hAnsi="Arial" w:cstheme="majorBidi"/>
      <w:kern w:val="2"/>
      <w:sz w:val="32"/>
      <w:szCs w:val="26"/>
    </w:rPr>
  </w:style>
  <w:style w:type="paragraph" w:styleId="Heading3">
    <w:name w:val="heading 3"/>
    <w:aliases w:val="DateTitlePage"/>
    <w:basedOn w:val="Normal"/>
    <w:next w:val="BodyText"/>
    <w:link w:val="Heading3Char"/>
    <w:uiPriority w:val="99"/>
    <w:semiHidden/>
    <w:qFormat/>
    <w:rsid w:val="00D27C78"/>
    <w:pPr>
      <w:tabs>
        <w:tab w:val="left" w:pos="0"/>
        <w:tab w:val="right" w:pos="9346"/>
      </w:tabs>
      <w:spacing w:before="240" w:after="0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Heading4">
    <w:name w:val="heading 4"/>
    <w:aliases w:val="TOC_Title"/>
    <w:basedOn w:val="Normal"/>
    <w:next w:val="Normal"/>
    <w:link w:val="Heading4Char"/>
    <w:uiPriority w:val="99"/>
    <w:semiHidden/>
    <w:qFormat/>
    <w:rsid w:val="00D27C78"/>
    <w:pPr>
      <w:pBdr>
        <w:bottom w:val="single" w:sz="36" w:space="12" w:color="E30000" w:themeColor="accent2"/>
      </w:pBdr>
      <w:spacing w:before="600" w:after="240"/>
      <w:outlineLvl w:val="3"/>
    </w:pPr>
    <w:rPr>
      <w:rFonts w:ascii="Arial" w:eastAsiaTheme="majorEastAsia" w:hAnsi="Arial" w:cstheme="majorBidi"/>
      <w:b/>
      <w:iCs/>
      <w:color w:val="006E5E" w:themeColor="accent1"/>
      <w:kern w:val="2"/>
      <w:sz w:val="60"/>
    </w:rPr>
  </w:style>
  <w:style w:type="paragraph" w:styleId="Heading5">
    <w:name w:val="heading 5"/>
    <w:aliases w:val="Heading"/>
    <w:basedOn w:val="Normal"/>
    <w:next w:val="BodyText"/>
    <w:link w:val="Heading5Char"/>
    <w:uiPriority w:val="8"/>
    <w:qFormat/>
    <w:rsid w:val="00027B82"/>
    <w:pPr>
      <w:keepNext/>
      <w:keepLines/>
      <w:suppressLineNumbers/>
      <w:spacing w:before="200" w:after="100"/>
      <w:contextualSpacing/>
      <w:outlineLvl w:val="4"/>
    </w:pPr>
    <w:rPr>
      <w:rFonts w:asciiTheme="majorHAnsi" w:eastAsiaTheme="majorEastAsia" w:hAnsiTheme="majorHAnsi" w:cstheme="majorBidi"/>
      <w:b/>
      <w:color w:val="006E5E" w:themeColor="accent1"/>
      <w:kern w:val="2"/>
      <w:sz w:val="42"/>
    </w:rPr>
  </w:style>
  <w:style w:type="paragraph" w:styleId="Heading6">
    <w:name w:val="heading 6"/>
    <w:aliases w:val="Subheading1"/>
    <w:basedOn w:val="Normal"/>
    <w:next w:val="BodyText"/>
    <w:link w:val="Heading6Char"/>
    <w:uiPriority w:val="9"/>
    <w:qFormat/>
    <w:rsid w:val="00152E05"/>
    <w:pPr>
      <w:keepNext/>
      <w:keepLines/>
      <w:spacing w:before="100" w:after="100" w:line="264" w:lineRule="auto"/>
      <w:outlineLvl w:val="5"/>
    </w:pPr>
    <w:rPr>
      <w:rFonts w:asciiTheme="majorHAnsi" w:eastAsiaTheme="majorEastAsia" w:hAnsiTheme="majorHAnsi" w:cstheme="majorBidi"/>
      <w:b/>
      <w:color w:val="006E5E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27C78"/>
    <w:pPr>
      <w:keepNext/>
      <w:keepLines/>
      <w:spacing w:before="40" w:after="240" w:line="288" w:lineRule="auto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D27C78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rsid w:val="00D27C78"/>
    <w:pPr>
      <w:outlineLvl w:val="8"/>
    </w:pPr>
    <w:rPr>
      <w:rFonts w:ascii="Arial" w:hAnsi="Arial"/>
      <w:b/>
      <w:noProof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Title Char"/>
    <w:basedOn w:val="DefaultParagraphFont"/>
    <w:link w:val="Heading1"/>
    <w:uiPriority w:val="99"/>
    <w:semiHidden/>
    <w:rsid w:val="00E40927"/>
    <w:rPr>
      <w:rFonts w:asciiTheme="majorHAnsi" w:eastAsiaTheme="majorEastAsia" w:hAnsiTheme="majorHAnsi" w:cstheme="majorBidi"/>
      <w:b/>
      <w:color w:val="006E5E" w:themeColor="accent1"/>
      <w:kern w:val="2"/>
      <w:sz w:val="104"/>
      <w:szCs w:val="32"/>
    </w:rPr>
  </w:style>
  <w:style w:type="character" w:customStyle="1" w:styleId="Heading2Char">
    <w:name w:val="Heading 2 Char"/>
    <w:aliases w:val="DocumentSubtitle Char"/>
    <w:basedOn w:val="DefaultParagraphFont"/>
    <w:link w:val="Heading2"/>
    <w:uiPriority w:val="99"/>
    <w:semiHidden/>
    <w:rsid w:val="00E40927"/>
    <w:rPr>
      <w:rFonts w:ascii="Arial" w:eastAsiaTheme="majorEastAsia" w:hAnsi="Arial" w:cstheme="majorBidi"/>
      <w:kern w:val="2"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D27C78"/>
    <w:rPr>
      <w:color w:val="808080"/>
    </w:rPr>
  </w:style>
  <w:style w:type="character" w:customStyle="1" w:styleId="Heading3Char">
    <w:name w:val="Heading 3 Char"/>
    <w:aliases w:val="DateTitlePage Char"/>
    <w:basedOn w:val="DefaultParagraphFont"/>
    <w:link w:val="Heading3"/>
    <w:uiPriority w:val="99"/>
    <w:semiHidden/>
    <w:rsid w:val="000E0198"/>
    <w:rPr>
      <w:rFonts w:ascii="Arial" w:eastAsiaTheme="majorEastAsia" w:hAnsi="Arial" w:cstheme="majorBidi"/>
      <w:szCs w:val="24"/>
    </w:rPr>
  </w:style>
  <w:style w:type="character" w:customStyle="1" w:styleId="Heading4Char">
    <w:name w:val="Heading 4 Char"/>
    <w:aliases w:val="TOC_Title Char"/>
    <w:basedOn w:val="DefaultParagraphFont"/>
    <w:link w:val="Heading4"/>
    <w:uiPriority w:val="99"/>
    <w:semiHidden/>
    <w:rsid w:val="009A76E7"/>
    <w:rPr>
      <w:rFonts w:ascii="Arial" w:eastAsiaTheme="majorEastAsia" w:hAnsi="Arial" w:cstheme="majorBidi"/>
      <w:b/>
      <w:iCs/>
      <w:color w:val="006E5E" w:themeColor="accent1"/>
      <w:kern w:val="2"/>
      <w:sz w:val="60"/>
    </w:rPr>
  </w:style>
  <w:style w:type="character" w:customStyle="1" w:styleId="Heading5Char">
    <w:name w:val="Heading 5 Char"/>
    <w:aliases w:val="Heading Char"/>
    <w:basedOn w:val="DefaultParagraphFont"/>
    <w:link w:val="Heading5"/>
    <w:uiPriority w:val="8"/>
    <w:rsid w:val="00027B82"/>
    <w:rPr>
      <w:rFonts w:asciiTheme="majorHAnsi" w:eastAsiaTheme="majorEastAsia" w:hAnsiTheme="majorHAnsi" w:cstheme="majorBidi"/>
      <w:b/>
      <w:color w:val="006E5E" w:themeColor="accent1"/>
      <w:kern w:val="2"/>
      <w:sz w:val="42"/>
    </w:rPr>
  </w:style>
  <w:style w:type="character" w:customStyle="1" w:styleId="Heading6Char">
    <w:name w:val="Heading 6 Char"/>
    <w:aliases w:val="Subheading1 Char"/>
    <w:basedOn w:val="DefaultParagraphFont"/>
    <w:link w:val="Heading6"/>
    <w:uiPriority w:val="9"/>
    <w:rsid w:val="00152E05"/>
    <w:rPr>
      <w:rFonts w:asciiTheme="majorHAnsi" w:eastAsiaTheme="majorEastAsia" w:hAnsiTheme="majorHAnsi" w:cstheme="majorBidi"/>
      <w:b/>
      <w:color w:val="006E5E"/>
      <w:kern w:val="2"/>
      <w:sz w:val="22"/>
    </w:rPr>
  </w:style>
  <w:style w:type="numbering" w:customStyle="1" w:styleId="CBSBulletList">
    <w:name w:val="CBS Bullet List"/>
    <w:uiPriority w:val="99"/>
    <w:rsid w:val="00D27C78"/>
    <w:pPr>
      <w:numPr>
        <w:numId w:val="1"/>
      </w:numPr>
    </w:pPr>
  </w:style>
  <w:style w:type="paragraph" w:customStyle="1" w:styleId="Subheading2">
    <w:name w:val="Subheading2"/>
    <w:basedOn w:val="Normal"/>
    <w:next w:val="BodyText"/>
    <w:link w:val="Subheading2Char"/>
    <w:uiPriority w:val="10"/>
    <w:qFormat/>
    <w:rsid w:val="00D27C78"/>
    <w:pPr>
      <w:keepNext/>
      <w:keepLines/>
      <w:spacing w:before="100" w:after="20" w:line="264" w:lineRule="auto"/>
      <w:outlineLvl w:val="6"/>
    </w:pPr>
    <w:rPr>
      <w:rFonts w:asciiTheme="majorHAnsi" w:eastAsiaTheme="majorEastAsia" w:hAnsiTheme="majorHAnsi" w:cstheme="majorBidi"/>
      <w:b/>
      <w:kern w:val="2"/>
      <w:sz w:val="18"/>
    </w:rPr>
  </w:style>
  <w:style w:type="paragraph" w:customStyle="1" w:styleId="BodyText">
    <w:name w:val="BodyText"/>
    <w:basedOn w:val="Normal"/>
    <w:link w:val="BodyTextChar"/>
    <w:uiPriority w:val="16"/>
    <w:qFormat/>
    <w:rsid w:val="00027B82"/>
    <w:pPr>
      <w:spacing w:after="100" w:line="264" w:lineRule="auto"/>
    </w:pPr>
    <w:rPr>
      <w:rFonts w:ascii="Times New Roman" w:hAnsi="Times New Roman"/>
      <w:kern w:val="2"/>
    </w:rPr>
  </w:style>
  <w:style w:type="character" w:customStyle="1" w:styleId="Subheading2Char">
    <w:name w:val="Subheading2 Char"/>
    <w:basedOn w:val="DefaultParagraphFont"/>
    <w:link w:val="Subheading2"/>
    <w:uiPriority w:val="10"/>
    <w:rsid w:val="00D27C78"/>
    <w:rPr>
      <w:rFonts w:asciiTheme="majorHAnsi" w:eastAsiaTheme="majorEastAsia" w:hAnsiTheme="majorHAnsi" w:cstheme="majorBidi"/>
      <w:b/>
      <w:kern w:val="2"/>
      <w:sz w:val="18"/>
    </w:rPr>
  </w:style>
  <w:style w:type="paragraph" w:styleId="Header">
    <w:name w:val="header"/>
    <w:aliases w:val="HeaderTitle"/>
    <w:basedOn w:val="Normal"/>
    <w:next w:val="Normal"/>
    <w:link w:val="HeaderChar"/>
    <w:uiPriority w:val="3"/>
    <w:unhideWhenUsed/>
    <w:qFormat/>
    <w:rsid w:val="00D27C78"/>
    <w:pPr>
      <w:spacing w:after="0"/>
    </w:pPr>
    <w:rPr>
      <w:rFonts w:ascii="Arial" w:hAnsi="Arial"/>
      <w:b/>
      <w:color w:val="006E5E"/>
      <w:sz w:val="24"/>
    </w:rPr>
  </w:style>
  <w:style w:type="character" w:customStyle="1" w:styleId="BodyTextChar">
    <w:name w:val="BodyText Char"/>
    <w:basedOn w:val="DefaultParagraphFont"/>
    <w:link w:val="BodyText"/>
    <w:uiPriority w:val="16"/>
    <w:rsid w:val="00027B82"/>
    <w:rPr>
      <w:rFonts w:ascii="Times New Roman" w:hAnsi="Times New Roman"/>
      <w:kern w:val="2"/>
      <w:sz w:val="22"/>
    </w:rPr>
  </w:style>
  <w:style w:type="character" w:customStyle="1" w:styleId="HeaderChar">
    <w:name w:val="Header Char"/>
    <w:aliases w:val="HeaderTitle Char"/>
    <w:basedOn w:val="DefaultParagraphFont"/>
    <w:link w:val="Header"/>
    <w:uiPriority w:val="3"/>
    <w:rsid w:val="00D27C78"/>
    <w:rPr>
      <w:rFonts w:ascii="Arial" w:hAnsi="Arial"/>
      <w:b/>
      <w:color w:val="006E5E"/>
      <w:sz w:val="24"/>
    </w:rPr>
  </w:style>
  <w:style w:type="paragraph" w:styleId="Footer">
    <w:name w:val="footer"/>
    <w:basedOn w:val="Normal"/>
    <w:link w:val="FooterChar"/>
    <w:uiPriority w:val="99"/>
    <w:semiHidden/>
    <w:rsid w:val="00D27C78"/>
    <w:pPr>
      <w:tabs>
        <w:tab w:val="center" w:pos="4680"/>
        <w:tab w:val="right" w:pos="9360"/>
      </w:tabs>
      <w:spacing w:after="0"/>
      <w:jc w:val="right"/>
    </w:pPr>
    <w:rPr>
      <w:rFonts w:ascii="Arial" w:hAnsi="Arial"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7C78"/>
    <w:rPr>
      <w:rFonts w:ascii="Arial" w:hAnsi="Arial"/>
      <w:sz w:val="14"/>
    </w:rPr>
  </w:style>
  <w:style w:type="paragraph" w:customStyle="1" w:styleId="HeaderSubtitle">
    <w:name w:val="HeaderSubtitle"/>
    <w:basedOn w:val="Normal"/>
    <w:link w:val="HeaderSubtitleChar"/>
    <w:uiPriority w:val="4"/>
    <w:qFormat/>
    <w:rsid w:val="00D27C78"/>
    <w:pPr>
      <w:spacing w:after="0" w:line="264" w:lineRule="auto"/>
    </w:pPr>
    <w:rPr>
      <w:rFonts w:ascii="Arial" w:hAnsi="Arial"/>
      <w:sz w:val="16"/>
    </w:rPr>
  </w:style>
  <w:style w:type="character" w:customStyle="1" w:styleId="HeaderSubtitleChar">
    <w:name w:val="HeaderSubtitle Char"/>
    <w:basedOn w:val="DefaultParagraphFont"/>
    <w:link w:val="HeaderSubtitle"/>
    <w:uiPriority w:val="4"/>
    <w:rsid w:val="00D27C78"/>
    <w:rPr>
      <w:rFonts w:ascii="Arial" w:hAnsi="Arial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C78"/>
    <w:rPr>
      <w:rFonts w:eastAsiaTheme="majorEastAsia" w:cstheme="majorBidi"/>
      <w:iCs/>
      <w:sz w:val="22"/>
    </w:rPr>
  </w:style>
  <w:style w:type="paragraph" w:customStyle="1" w:styleId="TableTitle">
    <w:name w:val="Table_Title"/>
    <w:basedOn w:val="Normal"/>
    <w:next w:val="TableBodyRow"/>
    <w:uiPriority w:val="26"/>
    <w:qFormat/>
    <w:rsid w:val="00AA1BA5"/>
    <w:pPr>
      <w:keepNext/>
      <w:spacing w:before="300" w:after="40"/>
    </w:pPr>
    <w:rPr>
      <w:rFonts w:ascii="Arial" w:hAnsi="Arial"/>
      <w:b/>
    </w:rPr>
  </w:style>
  <w:style w:type="table" w:customStyle="1" w:styleId="CanadianBloodServicesTable">
    <w:name w:val="Canadian Blood Services Table"/>
    <w:basedOn w:val="TableGridLight1"/>
    <w:uiPriority w:val="99"/>
    <w:rsid w:val="00A42EF1"/>
    <w:pPr>
      <w:spacing w:before="20" w:after="20"/>
    </w:pPr>
    <w:rPr>
      <w:rFonts w:ascii="Arial" w:hAnsi="Arial"/>
      <w:sz w:val="19"/>
    </w:rPr>
    <w:tblPr>
      <w:tblBorders>
        <w:top w:val="single" w:sz="18" w:space="0" w:color="E30000" w:themeColor="accent2"/>
        <w:left w:val="nil"/>
        <w:bottom w:val="single" w:sz="2" w:space="0" w:color="000000" w:themeColor="text1"/>
        <w:right w:val="nil"/>
        <w:insideH w:val="single" w:sz="2" w:space="0" w:color="000000" w:themeColor="text1"/>
        <w:insideV w:val="nil"/>
      </w:tblBorders>
      <w:tblCellMar>
        <w:top w:w="72" w:type="dxa"/>
        <w:left w:w="0" w:type="dxa"/>
        <w:bottom w:w="72" w:type="dxa"/>
        <w:right w:w="0" w:type="dxa"/>
      </w:tblCellMar>
    </w:tblPr>
  </w:style>
  <w:style w:type="numbering" w:customStyle="1" w:styleId="CBSNumberedList">
    <w:name w:val="CBS Numbered List"/>
    <w:uiPriority w:val="99"/>
    <w:rsid w:val="00D27C78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D27C78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C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78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C78"/>
    <w:rPr>
      <w:rFonts w:ascii="Arial" w:hAnsi="Arial"/>
      <w:b/>
      <w:noProof/>
      <w:kern w:val="2"/>
      <w:sz w:val="22"/>
    </w:rPr>
  </w:style>
  <w:style w:type="paragraph" w:customStyle="1" w:styleId="Subheading3">
    <w:name w:val="Subheading3"/>
    <w:basedOn w:val="Normal"/>
    <w:next w:val="BodyText"/>
    <w:link w:val="Subheading3Char"/>
    <w:uiPriority w:val="11"/>
    <w:qFormat/>
    <w:rsid w:val="00D27C78"/>
    <w:pPr>
      <w:keepNext/>
      <w:keepLines/>
      <w:spacing w:before="100" w:after="20" w:line="264" w:lineRule="auto"/>
      <w:outlineLvl w:val="7"/>
    </w:pPr>
    <w:rPr>
      <w:rFonts w:asciiTheme="majorHAnsi" w:eastAsiaTheme="majorEastAsia" w:hAnsiTheme="majorHAnsi" w:cstheme="majorBidi"/>
      <w:kern w:val="2"/>
      <w:sz w:val="18"/>
    </w:rPr>
  </w:style>
  <w:style w:type="paragraph" w:customStyle="1" w:styleId="Subheading4">
    <w:name w:val="Subheading4"/>
    <w:basedOn w:val="Normal"/>
    <w:next w:val="BodyText"/>
    <w:link w:val="Subheading4Char"/>
    <w:uiPriority w:val="12"/>
    <w:qFormat/>
    <w:rsid w:val="00D27C78"/>
    <w:pPr>
      <w:keepNext/>
      <w:keepLines/>
      <w:spacing w:before="100" w:after="20" w:line="264" w:lineRule="auto"/>
      <w:outlineLvl w:val="8"/>
    </w:pPr>
    <w:rPr>
      <w:rFonts w:asciiTheme="majorHAnsi" w:eastAsiaTheme="majorEastAsia" w:hAnsiTheme="majorHAnsi" w:cstheme="majorBidi"/>
      <w:b/>
      <w:caps/>
      <w:kern w:val="2"/>
      <w:sz w:val="15"/>
    </w:rPr>
  </w:style>
  <w:style w:type="character" w:customStyle="1" w:styleId="Subheading3Char">
    <w:name w:val="Subheading3 Char"/>
    <w:basedOn w:val="Subheading2Char"/>
    <w:link w:val="Subheading3"/>
    <w:uiPriority w:val="11"/>
    <w:rsid w:val="00D27C78"/>
    <w:rPr>
      <w:rFonts w:asciiTheme="majorHAnsi" w:eastAsiaTheme="majorEastAsia" w:hAnsiTheme="majorHAnsi" w:cstheme="majorBidi"/>
      <w:b w:val="0"/>
      <w:kern w:val="2"/>
      <w:sz w:val="18"/>
    </w:rPr>
  </w:style>
  <w:style w:type="character" w:customStyle="1" w:styleId="Subheading4Char">
    <w:name w:val="Subheading4 Char"/>
    <w:basedOn w:val="Subheading3Char"/>
    <w:link w:val="Subheading4"/>
    <w:uiPriority w:val="12"/>
    <w:rsid w:val="00D27C78"/>
    <w:rPr>
      <w:rFonts w:asciiTheme="majorHAnsi" w:eastAsiaTheme="majorEastAsia" w:hAnsiTheme="majorHAnsi" w:cstheme="majorBidi"/>
      <w:b/>
      <w:caps/>
      <w:kern w:val="2"/>
      <w:sz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D27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C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C78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C78"/>
    <w:rPr>
      <w:b/>
      <w:bCs/>
      <w:sz w:val="22"/>
    </w:rPr>
  </w:style>
  <w:style w:type="table" w:customStyle="1" w:styleId="TableGridLight1">
    <w:name w:val="Table Grid Light1"/>
    <w:basedOn w:val="TableNormal"/>
    <w:uiPriority w:val="40"/>
    <w:rsid w:val="00D27C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erRow">
    <w:name w:val="Table_HeaderRow"/>
    <w:basedOn w:val="Normal"/>
    <w:next w:val="TableBodyRow"/>
    <w:link w:val="TableHeaderRowChar"/>
    <w:uiPriority w:val="27"/>
    <w:qFormat/>
    <w:rsid w:val="00D27C78"/>
    <w:pPr>
      <w:spacing w:before="20" w:after="20"/>
      <w:ind w:right="144"/>
    </w:pPr>
    <w:rPr>
      <w:rFonts w:asciiTheme="majorHAnsi" w:hAnsiTheme="majorHAnsi"/>
      <w:b/>
      <w:color w:val="006E5E" w:themeColor="accent1"/>
      <w:kern w:val="2"/>
      <w:sz w:val="19"/>
    </w:rPr>
  </w:style>
  <w:style w:type="character" w:customStyle="1" w:styleId="TableHeaderRowChar">
    <w:name w:val="Table_HeaderRow Char"/>
    <w:basedOn w:val="DefaultParagraphFont"/>
    <w:link w:val="TableHeaderRow"/>
    <w:uiPriority w:val="27"/>
    <w:rsid w:val="00D27C78"/>
    <w:rPr>
      <w:rFonts w:asciiTheme="majorHAnsi" w:hAnsiTheme="majorHAnsi"/>
      <w:b/>
      <w:color w:val="006E5E" w:themeColor="accent1"/>
      <w:kern w:val="2"/>
      <w:sz w:val="19"/>
    </w:rPr>
  </w:style>
  <w:style w:type="paragraph" w:customStyle="1" w:styleId="Footnote">
    <w:name w:val="Footnote"/>
    <w:basedOn w:val="Normal"/>
    <w:next w:val="Normal"/>
    <w:link w:val="FootnoteChar"/>
    <w:uiPriority w:val="31"/>
    <w:qFormat/>
    <w:rsid w:val="00D27C78"/>
    <w:pPr>
      <w:keepNext/>
      <w:keepLines/>
      <w:framePr w:w="9346" w:wrap="notBeside" w:hAnchor="text" w:yAlign="bottom" w:anchorLock="1"/>
      <w:widowControl w:val="0"/>
      <w:pBdr>
        <w:top w:val="single" w:sz="2" w:space="3" w:color="000000" w:themeColor="text1"/>
      </w:pBdr>
      <w:spacing w:before="40" w:after="0"/>
    </w:pPr>
    <w:rPr>
      <w:rFonts w:ascii="Arial" w:hAnsi="Arial"/>
      <w:sz w:val="14"/>
    </w:rPr>
  </w:style>
  <w:style w:type="character" w:customStyle="1" w:styleId="FootnoteChar">
    <w:name w:val="Footnote Char"/>
    <w:basedOn w:val="DefaultParagraphFont"/>
    <w:link w:val="Footnote"/>
    <w:uiPriority w:val="31"/>
    <w:rsid w:val="00D27C78"/>
    <w:rPr>
      <w:rFonts w:ascii="Arial" w:hAnsi="Arial"/>
      <w:sz w:val="14"/>
    </w:rPr>
  </w:style>
  <w:style w:type="paragraph" w:styleId="ListBullet">
    <w:name w:val="List Bullet"/>
    <w:basedOn w:val="BodyText"/>
    <w:uiPriority w:val="99"/>
    <w:semiHidden/>
    <w:rsid w:val="00D27C78"/>
    <w:pPr>
      <w:numPr>
        <w:numId w:val="6"/>
      </w:numPr>
      <w:tabs>
        <w:tab w:val="left" w:pos="216"/>
      </w:tabs>
      <w:spacing w:after="0"/>
    </w:pPr>
  </w:style>
  <w:style w:type="paragraph" w:styleId="ListBullet2">
    <w:name w:val="List Bullet 2"/>
    <w:basedOn w:val="Normal"/>
    <w:uiPriority w:val="99"/>
    <w:semiHidden/>
    <w:rsid w:val="00D27C78"/>
    <w:pPr>
      <w:numPr>
        <w:numId w:val="7"/>
      </w:numPr>
      <w:tabs>
        <w:tab w:val="left" w:pos="432"/>
      </w:tabs>
      <w:spacing w:after="0" w:line="264" w:lineRule="auto"/>
      <w:outlineLvl w:val="1"/>
    </w:pPr>
  </w:style>
  <w:style w:type="paragraph" w:customStyle="1" w:styleId="CallOutHighlightText">
    <w:name w:val="CallOut_HighlightText"/>
    <w:basedOn w:val="Normal"/>
    <w:next w:val="BodyText"/>
    <w:uiPriority w:val="25"/>
    <w:qFormat/>
    <w:rsid w:val="00D27C78"/>
    <w:pPr>
      <w:pBdr>
        <w:top w:val="single" w:sz="18" w:space="5" w:color="E30000" w:themeColor="accent2"/>
        <w:bottom w:val="single" w:sz="2" w:space="5" w:color="E30000" w:themeColor="accent2"/>
      </w:pBdr>
      <w:spacing w:before="300" w:after="300" w:line="264" w:lineRule="auto"/>
    </w:pPr>
    <w:rPr>
      <w:rFonts w:ascii="Arial" w:hAnsi="Arial"/>
      <w:color w:val="E30000" w:themeColor="accent2"/>
      <w:sz w:val="3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7C78"/>
    <w:pPr>
      <w:pBdr>
        <w:bottom w:val="nil"/>
      </w:pBdr>
      <w:spacing w:before="480" w:after="0" w:line="276" w:lineRule="auto"/>
      <w:outlineLvl w:val="9"/>
    </w:pPr>
    <w:rPr>
      <w:bCs/>
      <w:color w:val="005246" w:themeColor="accent1" w:themeShade="BF"/>
      <w:kern w:val="0"/>
      <w:sz w:val="28"/>
      <w:szCs w:val="28"/>
      <w:lang w:eastAsia="ja-JP"/>
    </w:rPr>
  </w:style>
  <w:style w:type="numbering" w:customStyle="1" w:styleId="CBSStandardBullets">
    <w:name w:val="CBS Standard Bullets"/>
    <w:basedOn w:val="NoList"/>
    <w:rsid w:val="00D27C78"/>
    <w:pPr>
      <w:numPr>
        <w:numId w:val="3"/>
      </w:numPr>
    </w:pPr>
  </w:style>
  <w:style w:type="numbering" w:customStyle="1" w:styleId="Heading2Numa">
    <w:name w:val="Heading2Num a"/>
    <w:uiPriority w:val="99"/>
    <w:rsid w:val="00D27C78"/>
    <w:pPr>
      <w:numPr>
        <w:numId w:val="5"/>
      </w:numPr>
    </w:pPr>
  </w:style>
  <w:style w:type="numbering" w:customStyle="1" w:styleId="DocumentiIst">
    <w:name w:val="Document_iIst"/>
    <w:uiPriority w:val="99"/>
    <w:rsid w:val="00D27C78"/>
    <w:pPr>
      <w:numPr>
        <w:numId w:val="4"/>
      </w:numPr>
    </w:pPr>
  </w:style>
  <w:style w:type="paragraph" w:styleId="Caption">
    <w:name w:val="caption"/>
    <w:aliases w:val="Figure_Caption"/>
    <w:basedOn w:val="Normal"/>
    <w:next w:val="Normal"/>
    <w:uiPriority w:val="30"/>
    <w:qFormat/>
    <w:rsid w:val="00D27C78"/>
    <w:pPr>
      <w:spacing w:after="300" w:line="200" w:lineRule="atLeast"/>
    </w:pPr>
    <w:rPr>
      <w:rFonts w:asciiTheme="majorHAnsi" w:hAnsiTheme="majorHAnsi"/>
      <w:bCs/>
      <w:sz w:val="14"/>
      <w:szCs w:val="18"/>
    </w:rPr>
  </w:style>
  <w:style w:type="paragraph" w:customStyle="1" w:styleId="FigureTitle">
    <w:name w:val="Figure_Title"/>
    <w:basedOn w:val="Caption"/>
    <w:uiPriority w:val="29"/>
    <w:qFormat/>
    <w:rsid w:val="00D27C78"/>
    <w:pPr>
      <w:spacing w:before="300" w:after="20"/>
    </w:pPr>
    <w:rPr>
      <w:b/>
      <w:caps/>
      <w:sz w:val="15"/>
    </w:rPr>
  </w:style>
  <w:style w:type="paragraph" w:customStyle="1" w:styleId="BulletList1">
    <w:name w:val="BulletList1"/>
    <w:basedOn w:val="BodyText"/>
    <w:uiPriority w:val="19"/>
    <w:qFormat/>
    <w:rsid w:val="00D27C78"/>
    <w:pPr>
      <w:keepLines/>
      <w:numPr>
        <w:numId w:val="1"/>
      </w:numPr>
      <w:spacing w:after="0"/>
    </w:pPr>
  </w:style>
  <w:style w:type="paragraph" w:customStyle="1" w:styleId="BulletList2">
    <w:name w:val="BulletList2"/>
    <w:basedOn w:val="BodyText"/>
    <w:uiPriority w:val="20"/>
    <w:qFormat/>
    <w:rsid w:val="00D27C78"/>
    <w:pPr>
      <w:keepLines/>
      <w:numPr>
        <w:ilvl w:val="1"/>
        <w:numId w:val="3"/>
      </w:numPr>
      <w:spacing w:after="0"/>
    </w:pPr>
  </w:style>
  <w:style w:type="paragraph" w:customStyle="1" w:styleId="BulletList3">
    <w:name w:val="BulletList3"/>
    <w:basedOn w:val="BodyText"/>
    <w:uiPriority w:val="21"/>
    <w:qFormat/>
    <w:rsid w:val="00D27C78"/>
    <w:pPr>
      <w:keepLines/>
      <w:numPr>
        <w:ilvl w:val="2"/>
        <w:numId w:val="3"/>
      </w:numPr>
      <w:spacing w:after="0"/>
    </w:pPr>
  </w:style>
  <w:style w:type="paragraph" w:customStyle="1" w:styleId="BulletList4">
    <w:name w:val="BulletList4"/>
    <w:basedOn w:val="BodyText"/>
    <w:next w:val="BodyText"/>
    <w:uiPriority w:val="22"/>
    <w:qFormat/>
    <w:rsid w:val="00D27C78"/>
    <w:pPr>
      <w:keepLines/>
      <w:numPr>
        <w:ilvl w:val="3"/>
        <w:numId w:val="3"/>
      </w:numPr>
      <w:spacing w:after="0"/>
    </w:pPr>
  </w:style>
  <w:style w:type="paragraph" w:customStyle="1" w:styleId="NumList1">
    <w:name w:val="NumList1"/>
    <w:basedOn w:val="BulletList1"/>
    <w:uiPriority w:val="23"/>
    <w:qFormat/>
    <w:rsid w:val="00D27C78"/>
    <w:pPr>
      <w:numPr>
        <w:numId w:val="8"/>
      </w:numPr>
    </w:pPr>
  </w:style>
  <w:style w:type="paragraph" w:customStyle="1" w:styleId="NumList2">
    <w:name w:val="NumList2"/>
    <w:basedOn w:val="BulletList2"/>
    <w:uiPriority w:val="24"/>
    <w:qFormat/>
    <w:rsid w:val="00D27C78"/>
    <w:pPr>
      <w:numPr>
        <w:numId w:val="8"/>
      </w:numPr>
    </w:pPr>
  </w:style>
  <w:style w:type="paragraph" w:customStyle="1" w:styleId="HeadingNum">
    <w:name w:val="HeadingNum"/>
    <w:basedOn w:val="BodyText"/>
    <w:next w:val="BodyText"/>
    <w:link w:val="HeadingNumChar"/>
    <w:uiPriority w:val="7"/>
    <w:qFormat/>
    <w:rsid w:val="00027B82"/>
    <w:pPr>
      <w:keepNext/>
      <w:keepLines/>
      <w:numPr>
        <w:numId w:val="9"/>
      </w:numPr>
      <w:spacing w:before="200" w:line="240" w:lineRule="auto"/>
      <w:ind w:left="0" w:firstLine="0"/>
      <w:outlineLvl w:val="4"/>
    </w:pPr>
    <w:rPr>
      <w:rFonts w:ascii="Arial" w:hAnsi="Arial"/>
      <w:b/>
      <w:color w:val="006E5E" w:themeColor="accent1"/>
      <w:sz w:val="42"/>
    </w:rPr>
  </w:style>
  <w:style w:type="paragraph" w:customStyle="1" w:styleId="Subheading1Num">
    <w:name w:val="Subheading1Num"/>
    <w:basedOn w:val="Subheading2"/>
    <w:next w:val="BodyText"/>
    <w:link w:val="Subheading1NumChar"/>
    <w:uiPriority w:val="13"/>
    <w:qFormat/>
    <w:rsid w:val="00E40927"/>
    <w:pPr>
      <w:numPr>
        <w:ilvl w:val="1"/>
        <w:numId w:val="9"/>
      </w:numPr>
      <w:spacing w:after="0"/>
      <w:ind w:left="0" w:firstLine="0"/>
    </w:pPr>
    <w:rPr>
      <w:sz w:val="22"/>
    </w:rPr>
  </w:style>
  <w:style w:type="character" w:customStyle="1" w:styleId="HeadingNumChar">
    <w:name w:val="HeadingNum Char"/>
    <w:basedOn w:val="BodyTextChar"/>
    <w:link w:val="HeadingNum"/>
    <w:uiPriority w:val="7"/>
    <w:rsid w:val="00027B82"/>
    <w:rPr>
      <w:rFonts w:ascii="Arial" w:hAnsi="Arial"/>
      <w:b/>
      <w:color w:val="006E5E" w:themeColor="accent1"/>
      <w:kern w:val="2"/>
      <w:sz w:val="42"/>
    </w:rPr>
  </w:style>
  <w:style w:type="paragraph" w:customStyle="1" w:styleId="Subheading2Num">
    <w:name w:val="Subheading2Num"/>
    <w:basedOn w:val="Subheading2"/>
    <w:next w:val="Normal"/>
    <w:link w:val="Subheading2NumChar"/>
    <w:uiPriority w:val="14"/>
    <w:qFormat/>
    <w:rsid w:val="00E40927"/>
    <w:pPr>
      <w:numPr>
        <w:ilvl w:val="2"/>
        <w:numId w:val="9"/>
      </w:numPr>
      <w:ind w:left="0" w:firstLine="0"/>
    </w:pPr>
  </w:style>
  <w:style w:type="character" w:customStyle="1" w:styleId="Subheading1NumChar">
    <w:name w:val="Subheading1Num Char"/>
    <w:basedOn w:val="BodyTextChar"/>
    <w:link w:val="Subheading1Num"/>
    <w:uiPriority w:val="13"/>
    <w:rsid w:val="00E40927"/>
    <w:rPr>
      <w:rFonts w:asciiTheme="majorHAnsi" w:eastAsiaTheme="majorEastAsia" w:hAnsiTheme="majorHAnsi" w:cstheme="majorBidi"/>
      <w:b/>
      <w:kern w:val="2"/>
      <w:sz w:val="22"/>
    </w:rPr>
  </w:style>
  <w:style w:type="paragraph" w:customStyle="1" w:styleId="Subheading3Num">
    <w:name w:val="Subheading3Num"/>
    <w:basedOn w:val="Subheading3"/>
    <w:next w:val="Normal"/>
    <w:link w:val="Subheading3NumChar"/>
    <w:uiPriority w:val="15"/>
    <w:qFormat/>
    <w:rsid w:val="00E40927"/>
    <w:pPr>
      <w:numPr>
        <w:ilvl w:val="3"/>
        <w:numId w:val="9"/>
      </w:numPr>
      <w:ind w:left="0" w:firstLine="0"/>
    </w:pPr>
    <w:rPr>
      <w:rFonts w:eastAsiaTheme="minorHAnsi" w:cstheme="minorBidi"/>
    </w:rPr>
  </w:style>
  <w:style w:type="character" w:customStyle="1" w:styleId="Subheading2NumChar">
    <w:name w:val="Subheading2Num Char"/>
    <w:basedOn w:val="BodyTextChar"/>
    <w:link w:val="Subheading2Num"/>
    <w:uiPriority w:val="14"/>
    <w:rsid w:val="00E40927"/>
    <w:rPr>
      <w:rFonts w:asciiTheme="majorHAnsi" w:eastAsiaTheme="majorEastAsia" w:hAnsiTheme="majorHAnsi" w:cstheme="majorBidi"/>
      <w:b/>
      <w:kern w:val="2"/>
      <w:sz w:val="18"/>
    </w:rPr>
  </w:style>
  <w:style w:type="character" w:customStyle="1" w:styleId="Subheading3NumChar">
    <w:name w:val="Subheading3Num Char"/>
    <w:basedOn w:val="BodyTextChar"/>
    <w:link w:val="Subheading3Num"/>
    <w:uiPriority w:val="15"/>
    <w:rsid w:val="00E40927"/>
    <w:rPr>
      <w:rFonts w:asciiTheme="majorHAnsi" w:hAnsiTheme="majorHAnsi"/>
      <w:kern w:val="2"/>
      <w:sz w:val="18"/>
    </w:rPr>
  </w:style>
  <w:style w:type="paragraph" w:customStyle="1" w:styleId="BodyTextAfterBulletNumList">
    <w:name w:val="BodyText_AfterBullet/NumList"/>
    <w:basedOn w:val="BodyText"/>
    <w:next w:val="BodyText"/>
    <w:uiPriority w:val="18"/>
    <w:qFormat/>
    <w:rsid w:val="00D27C78"/>
    <w:pPr>
      <w:keepLines/>
      <w:spacing w:before="100"/>
    </w:pPr>
    <w:rPr>
      <w:rFonts w:eastAsia="Times New Roman" w:cs="Times New Roman"/>
    </w:rPr>
  </w:style>
  <w:style w:type="paragraph" w:customStyle="1" w:styleId="TableBodyRow">
    <w:name w:val="Table_BodyRow"/>
    <w:basedOn w:val="Normal"/>
    <w:link w:val="TableBodyRowChar"/>
    <w:uiPriority w:val="28"/>
    <w:qFormat/>
    <w:rsid w:val="00D27C78"/>
    <w:pPr>
      <w:spacing w:before="20" w:after="20"/>
      <w:ind w:right="144"/>
      <w:contextualSpacing/>
    </w:pPr>
    <w:rPr>
      <w:rFonts w:ascii="Arial" w:hAnsi="Arial"/>
      <w:sz w:val="19"/>
    </w:rPr>
  </w:style>
  <w:style w:type="character" w:customStyle="1" w:styleId="TableBodyRowChar">
    <w:name w:val="Table_BodyRow Char"/>
    <w:basedOn w:val="DefaultParagraphFont"/>
    <w:link w:val="TableBodyRow"/>
    <w:uiPriority w:val="28"/>
    <w:rsid w:val="00D27C78"/>
    <w:rPr>
      <w:rFonts w:ascii="Arial" w:hAnsi="Arial"/>
      <w:sz w:val="19"/>
    </w:rPr>
  </w:style>
  <w:style w:type="paragraph" w:customStyle="1" w:styleId="SocialMedia">
    <w:name w:val="SocialMedia"/>
    <w:basedOn w:val="Normal"/>
    <w:uiPriority w:val="99"/>
    <w:semiHidden/>
    <w:qFormat/>
    <w:locked/>
    <w:rsid w:val="000E0198"/>
    <w:pPr>
      <w:keepNext/>
      <w:keepLines/>
      <w:tabs>
        <w:tab w:val="left" w:pos="540"/>
      </w:tabs>
      <w:suppressAutoHyphens/>
      <w:spacing w:before="190" w:after="140" w:line="480" w:lineRule="exact"/>
      <w:contextualSpacing/>
    </w:pPr>
    <w:rPr>
      <w:rFonts w:ascii="Arial" w:hAnsi="Arial" w:cs="Arial"/>
      <w:spacing w:val="5"/>
      <w:sz w:val="16"/>
      <w:szCs w:val="16"/>
    </w:rPr>
  </w:style>
  <w:style w:type="paragraph" w:customStyle="1" w:styleId="ContactInfo">
    <w:name w:val="ContactInfo"/>
    <w:basedOn w:val="Normal"/>
    <w:uiPriority w:val="99"/>
    <w:semiHidden/>
    <w:qFormat/>
    <w:locked/>
    <w:rsid w:val="00AA1BA5"/>
    <w:pPr>
      <w:keepNext/>
      <w:keepLines/>
      <w:tabs>
        <w:tab w:val="left" w:pos="540"/>
      </w:tabs>
      <w:suppressAutoHyphens/>
      <w:spacing w:after="0" w:line="260" w:lineRule="exact"/>
    </w:pPr>
    <w:rPr>
      <w:rFonts w:ascii="Arial" w:hAnsi="Arial" w:cs="Arial"/>
      <w:spacing w:val="5"/>
      <w:sz w:val="16"/>
      <w:szCs w:val="14"/>
    </w:rPr>
  </w:style>
  <w:style w:type="character" w:customStyle="1" w:styleId="ContactInfobold">
    <w:name w:val="ContactInfo_bold"/>
    <w:basedOn w:val="DefaultParagraphFont"/>
    <w:uiPriority w:val="99"/>
    <w:semiHidden/>
    <w:rsid w:val="00A42EF1"/>
    <w:rPr>
      <w:b/>
      <w:sz w:val="15"/>
    </w:rPr>
  </w:style>
  <w:style w:type="character" w:customStyle="1" w:styleId="SocialMediaoffset">
    <w:name w:val="SocialMedia_offset"/>
    <w:basedOn w:val="DefaultParagraphFont"/>
    <w:uiPriority w:val="99"/>
    <w:semiHidden/>
    <w:rsid w:val="0082060D"/>
    <w:rPr>
      <w:spacing w:val="5"/>
      <w:position w:val="15"/>
    </w:rPr>
  </w:style>
  <w:style w:type="paragraph" w:styleId="ListParagraph">
    <w:name w:val="List Paragraph"/>
    <w:basedOn w:val="Normal"/>
    <w:uiPriority w:val="34"/>
    <w:qFormat/>
    <w:rsid w:val="005F2E35"/>
    <w:pPr>
      <w:spacing w:after="0"/>
      <w:ind w:left="720"/>
      <w:contextualSpacing/>
    </w:pPr>
    <w:rPr>
      <w:rFonts w:ascii="Verdana" w:eastAsia="Times New Roman" w:hAnsi="Verdana" w:cs="Times New Roman"/>
      <w:color w:val="000000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C63D83"/>
    <w:pPr>
      <w:spacing w:before="120" w:after="0"/>
    </w:pPr>
    <w:rPr>
      <w:rFonts w:ascii="New York" w:eastAsia="Times New Roman" w:hAnsi="New York" w:cs="Times New Roman"/>
      <w:color w:val="auto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C63D83"/>
    <w:pPr>
      <w:spacing w:after="0"/>
    </w:pPr>
    <w:rPr>
      <w:rFonts w:eastAsiaTheme="minorEastAsia"/>
      <w:color w:val="auto"/>
      <w:sz w:val="24"/>
      <w:szCs w:val="24"/>
    </w:rPr>
    <w:tblPr>
      <w:tblStyleRowBandSize w:val="1"/>
      <w:tblStyleColBandSize w:val="1"/>
      <w:tblBorders>
        <w:top w:val="single" w:sz="4" w:space="0" w:color="5FFFE7" w:themeColor="accent1" w:themeTint="66"/>
        <w:left w:val="single" w:sz="4" w:space="0" w:color="5FFFE7" w:themeColor="accent1" w:themeTint="66"/>
        <w:bottom w:val="single" w:sz="4" w:space="0" w:color="5FFFE7" w:themeColor="accent1" w:themeTint="66"/>
        <w:right w:val="single" w:sz="4" w:space="0" w:color="5FFFE7" w:themeColor="accent1" w:themeTint="66"/>
        <w:insideH w:val="single" w:sz="4" w:space="0" w:color="5FFFE7" w:themeColor="accent1" w:themeTint="66"/>
        <w:insideV w:val="single" w:sz="4" w:space="0" w:color="5FFF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FFF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FFF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anadianBloodServicesTable1">
    <w:name w:val="Canadian Blood Services Table1"/>
    <w:basedOn w:val="TableGridLight1"/>
    <w:uiPriority w:val="99"/>
    <w:rsid w:val="00C278EA"/>
    <w:pPr>
      <w:spacing w:before="20" w:after="20"/>
    </w:pPr>
    <w:rPr>
      <w:rFonts w:ascii="Arial" w:hAnsi="Arial"/>
      <w:sz w:val="19"/>
    </w:rPr>
    <w:tblPr>
      <w:tblBorders>
        <w:top w:val="single" w:sz="18" w:space="0" w:color="E30000" w:themeColor="accent2"/>
        <w:left w:val="single" w:sz="4" w:space="0" w:color="auto"/>
        <w:bottom w:val="single" w:sz="2" w:space="0" w:color="000000" w:themeColor="text1"/>
        <w:right w:val="single" w:sz="4" w:space="0" w:color="auto"/>
        <w:insideH w:val="single" w:sz="2" w:space="0" w:color="000000" w:themeColor="text1"/>
        <w:insideV w:val="single" w:sz="4" w:space="0" w:color="auto"/>
      </w:tblBorders>
      <w:tblCellMar>
        <w:top w:w="72" w:type="dxa"/>
        <w:left w:w="0" w:type="dxa"/>
        <w:bottom w:w="72" w:type="dxa"/>
        <w:right w:w="0" w:type="dxa"/>
      </w:tblCellMar>
    </w:tblPr>
  </w:style>
  <w:style w:type="numbering" w:customStyle="1" w:styleId="CBSNumberedList1">
    <w:name w:val="CBS Numbered List1"/>
    <w:uiPriority w:val="99"/>
    <w:rsid w:val="00C278EA"/>
  </w:style>
  <w:style w:type="numbering" w:customStyle="1" w:styleId="CBSStandardBullets1">
    <w:name w:val="CBS Standard Bullets1"/>
    <w:basedOn w:val="NoList"/>
    <w:rsid w:val="00C278EA"/>
  </w:style>
  <w:style w:type="paragraph" w:styleId="NoSpacing">
    <w:name w:val="No Spacing"/>
    <w:basedOn w:val="Normal"/>
    <w:uiPriority w:val="1"/>
    <w:qFormat/>
    <w:rsid w:val="00A701CB"/>
    <w:pPr>
      <w:spacing w:before="100" w:beforeAutospacing="1" w:after="100" w:afterAutospacing="1"/>
    </w:pPr>
    <w:rPr>
      <w:rFonts w:ascii="Calibri" w:hAnsi="Calibri" w:cs="Calibri"/>
      <w:color w:val="auto"/>
      <w:szCs w:val="22"/>
    </w:rPr>
  </w:style>
  <w:style w:type="character" w:styleId="Hyperlink">
    <w:name w:val="Hyperlink"/>
    <w:basedOn w:val="DefaultParagraphFont"/>
    <w:uiPriority w:val="99"/>
    <w:unhideWhenUsed/>
    <w:rsid w:val="00204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han.lalani\Desktop\System%20Audit%20Template.dotx" TargetMode="External"/></Relationships>
</file>

<file path=word/theme/theme1.xml><?xml version="1.0" encoding="utf-8"?>
<a:theme xmlns:a="http://schemas.openxmlformats.org/drawingml/2006/main" name="Office Theme">
  <a:themeElements>
    <a:clrScheme name="CBS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E5E"/>
      </a:accent1>
      <a:accent2>
        <a:srgbClr val="E30000"/>
      </a:accent2>
      <a:accent3>
        <a:srgbClr val="696867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BS Font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TypeOfCommunication>Type of Communication</TypeOfCommunication>
</root>
</file>

<file path=customXml/item2.xml><?xml version="1.0" encoding="utf-8"?>
<root>
  <date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AF6F93B-815F-4A11-8481-85443E323D4B}">
  <ds:schemaRefs/>
</ds:datastoreItem>
</file>

<file path=customXml/itemProps2.xml><?xml version="1.0" encoding="utf-8"?>
<ds:datastoreItem xmlns:ds="http://schemas.openxmlformats.org/officeDocument/2006/customXml" ds:itemID="{09D0E007-C015-427C-802D-40E436332411}">
  <ds:schemaRefs/>
</ds:datastoreItem>
</file>

<file path=customXml/itemProps3.xml><?xml version="1.0" encoding="utf-8"?>
<ds:datastoreItem xmlns:ds="http://schemas.openxmlformats.org/officeDocument/2006/customXml" ds:itemID="{10404CC3-5259-4C05-A127-F9183BBC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System Audit Template.dotx</Template>
  <TotalTime>7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Document Title</vt:lpstr>
      <vt:lpstr>Document Title</vt:lpstr>
    </vt:vector>
  </TitlesOfParts>
  <Company>Canadian Blood Services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Jehan Lalani</dc:creator>
  <cp:lastModifiedBy>Jehan Lalani</cp:lastModifiedBy>
  <cp:revision>3</cp:revision>
  <cp:lastPrinted>2018-08-02T21:00:00Z</cp:lastPrinted>
  <dcterms:created xsi:type="dcterms:W3CDTF">2018-09-05T19:44:00Z</dcterms:created>
  <dcterms:modified xsi:type="dcterms:W3CDTF">2018-10-10T02:11:00Z</dcterms:modified>
</cp:coreProperties>
</file>